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33D7" w14:textId="42AB63E8" w:rsidR="00CD5814" w:rsidRPr="00392F3D" w:rsidRDefault="00943593">
      <w:pPr>
        <w:pStyle w:val="Heading1"/>
        <w:rPr>
          <w:lang w:val="pt-PT"/>
        </w:rPr>
      </w:pPr>
      <w:r w:rsidRPr="00392F3D">
        <w:rPr>
          <w:lang w:val="pt-PT"/>
        </w:rPr>
        <w:t>Actualizações do software Spectrum/AIM para a ronda d</w:t>
      </w:r>
      <w:r w:rsidR="00392F3D">
        <w:rPr>
          <w:lang w:val="pt-PT"/>
        </w:rPr>
        <w:t xml:space="preserve">as </w:t>
      </w:r>
      <w:r w:rsidRPr="00392F3D">
        <w:rPr>
          <w:lang w:val="pt-PT"/>
        </w:rPr>
        <w:t xml:space="preserve">estimativas de </w:t>
      </w:r>
      <w:r w:rsidR="006B1066" w:rsidRPr="00392F3D">
        <w:rPr>
          <w:lang w:val="pt-PT"/>
        </w:rPr>
        <w:t>2024</w:t>
      </w:r>
    </w:p>
    <w:p w14:paraId="1D66C41B" w14:textId="16DBB64C" w:rsidR="00CD5814" w:rsidRPr="00392F3D" w:rsidRDefault="00943593">
      <w:pPr>
        <w:rPr>
          <w:lang w:val="pt-PT"/>
        </w:rPr>
      </w:pPr>
      <w:r w:rsidRPr="00392F3D">
        <w:rPr>
          <w:lang w:val="pt-PT"/>
        </w:rPr>
        <w:t xml:space="preserve">Versão </w:t>
      </w:r>
      <w:r w:rsidR="00BD1E75">
        <w:rPr>
          <w:lang w:val="pt-PT"/>
        </w:rPr>
        <w:t>21</w:t>
      </w:r>
      <w:r w:rsidR="00BD4E42" w:rsidRPr="00392F3D">
        <w:rPr>
          <w:lang w:val="pt-PT"/>
        </w:rPr>
        <w:t xml:space="preserve"> de </w:t>
      </w:r>
      <w:r w:rsidR="00AB3293">
        <w:rPr>
          <w:lang w:val="pt-PT"/>
        </w:rPr>
        <w:t xml:space="preserve">janeiro </w:t>
      </w:r>
      <w:r w:rsidRPr="00392F3D">
        <w:rPr>
          <w:lang w:val="pt-PT"/>
        </w:rPr>
        <w:t>de 202</w:t>
      </w:r>
      <w:r w:rsidR="00AB3293">
        <w:rPr>
          <w:lang w:val="pt-PT"/>
        </w:rPr>
        <w:t>4</w:t>
      </w:r>
    </w:p>
    <w:p w14:paraId="0A7E032C" w14:textId="78398E28" w:rsidR="00CD5814" w:rsidRPr="00392F3D" w:rsidRDefault="00392F3D">
      <w:pPr>
        <w:pStyle w:val="Heading2"/>
        <w:rPr>
          <w:lang w:val="pt-PT"/>
        </w:rPr>
      </w:pPr>
      <w:r>
        <w:rPr>
          <w:lang w:val="pt-PT"/>
        </w:rPr>
        <w:t xml:space="preserve">Inserção de </w:t>
      </w:r>
      <w:r w:rsidR="00943593" w:rsidRPr="00392F3D">
        <w:rPr>
          <w:lang w:val="pt-PT"/>
        </w:rPr>
        <w:t>dados</w:t>
      </w:r>
    </w:p>
    <w:p w14:paraId="1F4C6DC7" w14:textId="2A5658C4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 xml:space="preserve">Interrupção </w:t>
      </w:r>
      <w:r w:rsidR="00392F3D">
        <w:rPr>
          <w:b/>
          <w:bCs/>
          <w:lang w:val="pt-PT"/>
        </w:rPr>
        <w:t>a</w:t>
      </w:r>
      <w:r w:rsidRPr="00392F3D">
        <w:rPr>
          <w:b/>
          <w:bCs/>
          <w:lang w:val="pt-PT"/>
        </w:rPr>
        <w:t>o tratamento</w:t>
      </w:r>
      <w:r w:rsidRPr="00392F3D">
        <w:rPr>
          <w:lang w:val="pt-PT"/>
        </w:rPr>
        <w:t xml:space="preserve">. </w:t>
      </w:r>
      <w:r w:rsidR="00392F3D">
        <w:rPr>
          <w:lang w:val="pt-PT"/>
        </w:rPr>
        <w:t>Agora r</w:t>
      </w:r>
      <w:r w:rsidRPr="00392F3D">
        <w:rPr>
          <w:lang w:val="pt-PT"/>
        </w:rPr>
        <w:t xml:space="preserve">ecomenda-se aos utilizadores </w:t>
      </w:r>
      <w:r w:rsidR="00392F3D">
        <w:rPr>
          <w:lang w:val="pt-PT"/>
        </w:rPr>
        <w:t xml:space="preserve">a </w:t>
      </w:r>
      <w:r w:rsidRPr="00392F3D">
        <w:rPr>
          <w:lang w:val="pt-PT"/>
        </w:rPr>
        <w:t>introdu</w:t>
      </w:r>
      <w:r w:rsidR="00392F3D">
        <w:rPr>
          <w:lang w:val="pt-PT"/>
        </w:rPr>
        <w:t>ção d</w:t>
      </w:r>
      <w:r w:rsidR="60328F84" w:rsidRPr="00392F3D">
        <w:rPr>
          <w:lang w:val="pt-PT"/>
        </w:rPr>
        <w:t>as taxas de</w:t>
      </w:r>
      <w:r w:rsidRPr="00392F3D">
        <w:rPr>
          <w:lang w:val="pt-PT"/>
        </w:rPr>
        <w:t xml:space="preserve"> interrupção </w:t>
      </w:r>
      <w:r w:rsidR="00392F3D">
        <w:rPr>
          <w:lang w:val="pt-PT"/>
        </w:rPr>
        <w:t>a</w:t>
      </w:r>
      <w:r w:rsidRPr="00392F3D">
        <w:rPr>
          <w:lang w:val="pt-PT"/>
        </w:rPr>
        <w:t xml:space="preserve">o tratamento para todos os anos </w:t>
      </w:r>
      <w:r w:rsidR="00392F3D">
        <w:rPr>
          <w:lang w:val="pt-PT"/>
        </w:rPr>
        <w:t>em TARV</w:t>
      </w:r>
      <w:r w:rsidRPr="00392F3D">
        <w:rPr>
          <w:lang w:val="pt-PT"/>
        </w:rPr>
        <w:t xml:space="preserve">. A "Interrupção </w:t>
      </w:r>
      <w:r w:rsidR="00392F3D">
        <w:rPr>
          <w:lang w:val="pt-PT"/>
        </w:rPr>
        <w:t>a</w:t>
      </w:r>
      <w:r w:rsidRPr="00392F3D">
        <w:rPr>
          <w:lang w:val="pt-PT"/>
        </w:rPr>
        <w:t xml:space="preserve">o tratamento" substitui o que </w:t>
      </w:r>
      <w:r w:rsidR="57D14D1C" w:rsidRPr="00392F3D">
        <w:rPr>
          <w:lang w:val="pt-PT"/>
        </w:rPr>
        <w:t xml:space="preserve">anteriormente se designava por </w:t>
      </w:r>
      <w:r w:rsidRPr="00392F3D">
        <w:rPr>
          <w:lang w:val="pt-PT"/>
        </w:rPr>
        <w:t xml:space="preserve">"Perda de seguimento". As taxas devem ser calculadas a partir dos dados dos programas nacionais, se forem fiáveis. </w:t>
      </w:r>
      <w:r w:rsidR="00B07BDE" w:rsidRPr="00392F3D">
        <w:rPr>
          <w:lang w:val="pt-PT"/>
        </w:rPr>
        <w:br/>
      </w:r>
      <w:r w:rsidRPr="00392F3D">
        <w:rPr>
          <w:lang w:val="pt-PT"/>
        </w:rPr>
        <w:t>Para os anos sem dados, recomenda-se a ado</w:t>
      </w:r>
      <w:r w:rsidR="00392F3D">
        <w:rPr>
          <w:lang w:val="pt-PT"/>
        </w:rPr>
        <w:t>p</w:t>
      </w:r>
      <w:r w:rsidRPr="00392F3D">
        <w:rPr>
          <w:lang w:val="pt-PT"/>
        </w:rPr>
        <w:t xml:space="preserve">ção de taxas predefinidas, para as quais os editores "Child Treatment" (Tratamento de crianças) e "Adult ART" (TARV para adultos) têm agora botões com a etiqueta "Apply default interruption rate" (Aplicar taxa de interrupção predefinida). Ao clicar neste botão, será inserida a taxa de interrupção predefinida recomendada para todos os anos: 5% por ano, tanto para adultos como para crianças, em todas as regiões, exceto nos </w:t>
      </w:r>
      <w:r w:rsidR="72CE02C2" w:rsidRPr="00392F3D">
        <w:rPr>
          <w:lang w:val="pt-PT"/>
        </w:rPr>
        <w:t xml:space="preserve">países de </w:t>
      </w:r>
      <w:r w:rsidR="72CE02C2" w:rsidRPr="00BD1E75">
        <w:rPr>
          <w:lang w:val="pt-PT"/>
        </w:rPr>
        <w:t>rendimento</w:t>
      </w:r>
      <w:r w:rsidR="00BD1E75" w:rsidRPr="00BD1E75">
        <w:rPr>
          <w:lang w:val="pt-PT"/>
        </w:rPr>
        <w:t xml:space="preserve"> elevado</w:t>
      </w:r>
      <w:r w:rsidRPr="00BD1E75">
        <w:rPr>
          <w:lang w:val="pt-PT"/>
        </w:rPr>
        <w:t>, onde a taxa por defeito</w:t>
      </w:r>
      <w:r w:rsidRPr="00392F3D">
        <w:rPr>
          <w:lang w:val="pt-PT"/>
        </w:rPr>
        <w:t xml:space="preserve"> é de 1,6%.</w:t>
      </w:r>
      <w:r w:rsidR="00B07BDE" w:rsidRPr="00392F3D">
        <w:rPr>
          <w:lang w:val="pt-PT"/>
        </w:rPr>
        <w:br/>
      </w:r>
    </w:p>
    <w:p w14:paraId="521C2703" w14:textId="0FDC2921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 xml:space="preserve">Os padrões de aleitamento materno </w:t>
      </w:r>
      <w:r w:rsidRPr="00392F3D">
        <w:rPr>
          <w:lang w:val="pt-PT"/>
        </w:rPr>
        <w:t xml:space="preserve">foram actualizados </w:t>
      </w:r>
      <w:r w:rsidR="326CA6BC" w:rsidRPr="00392F3D">
        <w:rPr>
          <w:lang w:val="pt-PT"/>
        </w:rPr>
        <w:t xml:space="preserve">para </w:t>
      </w:r>
      <w:r w:rsidR="652FF9BD" w:rsidRPr="00392F3D">
        <w:rPr>
          <w:lang w:val="pt-PT"/>
        </w:rPr>
        <w:t xml:space="preserve">incorporar </w:t>
      </w:r>
      <w:r w:rsidRPr="00392F3D">
        <w:rPr>
          <w:lang w:val="pt-PT"/>
        </w:rPr>
        <w:t xml:space="preserve">os dados dos últimos inquéritos (para 6 países da África </w:t>
      </w:r>
      <w:r w:rsidR="459BCC25" w:rsidRPr="00392F3D">
        <w:rPr>
          <w:lang w:val="pt-PT"/>
        </w:rPr>
        <w:t>Subsariana</w:t>
      </w:r>
      <w:r w:rsidRPr="00392F3D">
        <w:rPr>
          <w:lang w:val="pt-PT"/>
        </w:rPr>
        <w:t>). Isto irá melhorar ligeiramente as estimativas d</w:t>
      </w:r>
      <w:r w:rsidR="00911BE5">
        <w:rPr>
          <w:lang w:val="pt-PT"/>
        </w:rPr>
        <w:t>o</w:t>
      </w:r>
      <w:r w:rsidRPr="00392F3D">
        <w:rPr>
          <w:lang w:val="pt-PT"/>
        </w:rPr>
        <w:t xml:space="preserve"> P</w:t>
      </w:r>
      <w:r w:rsidR="00911BE5">
        <w:rPr>
          <w:lang w:val="pt-PT"/>
        </w:rPr>
        <w:t>TMF</w:t>
      </w:r>
      <w:r w:rsidRPr="00392F3D">
        <w:rPr>
          <w:lang w:val="pt-PT"/>
        </w:rPr>
        <w:t xml:space="preserve"> para todos os países da África Austral, Oriental e Ocidental</w:t>
      </w:r>
      <w:r w:rsidR="55F7ACD8" w:rsidRPr="00392F3D">
        <w:rPr>
          <w:lang w:val="pt-PT"/>
        </w:rPr>
        <w:t xml:space="preserve">. </w:t>
      </w:r>
      <w:r w:rsidR="62427851" w:rsidRPr="00392F3D">
        <w:rPr>
          <w:lang w:val="pt-PT"/>
        </w:rPr>
        <w:t xml:space="preserve">Isto é feito seleccionando </w:t>
      </w:r>
      <w:r w:rsidR="00911BE5">
        <w:rPr>
          <w:lang w:val="pt-PT"/>
        </w:rPr>
        <w:t xml:space="preserve">- </w:t>
      </w:r>
      <w:r w:rsidRPr="00392F3D">
        <w:rPr>
          <w:lang w:val="pt-PT"/>
        </w:rPr>
        <w:t>Ler dados do inquérito em AIM &gt; PMTCT &gt; Aleitamento materno.</w:t>
      </w:r>
    </w:p>
    <w:p w14:paraId="1D116F04" w14:textId="77777777" w:rsidR="00AF03C0" w:rsidRPr="00392F3D" w:rsidRDefault="00AF03C0" w:rsidP="00451256">
      <w:pPr>
        <w:pStyle w:val="ListParagraph"/>
        <w:ind w:left="360"/>
        <w:rPr>
          <w:lang w:val="pt-PT"/>
        </w:rPr>
      </w:pPr>
      <w:r w:rsidRPr="00392F3D">
        <w:rPr>
          <w:lang w:val="pt-PT"/>
        </w:rPr>
        <w:t xml:space="preserve"> </w:t>
      </w:r>
    </w:p>
    <w:p w14:paraId="40DCA686" w14:textId="0C2289CB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>Conhecimento da situação das crianças</w:t>
      </w:r>
      <w:r w:rsidRPr="00392F3D">
        <w:rPr>
          <w:lang w:val="pt-PT"/>
        </w:rPr>
        <w:t xml:space="preserve">. Uma vez que as informações sobre a percentagem de crianças que conhecem o seu estado são escassas, o </w:t>
      </w:r>
      <w:r w:rsidR="540D5BE5" w:rsidRPr="00392F3D">
        <w:rPr>
          <w:lang w:val="pt-PT"/>
        </w:rPr>
        <w:t>número de crianças em TARV tem sido utilizado como indicador</w:t>
      </w:r>
      <w:r w:rsidR="00B3677B" w:rsidRPr="00392F3D">
        <w:rPr>
          <w:lang w:val="pt-PT"/>
        </w:rPr>
        <w:t xml:space="preserve">, mas </w:t>
      </w:r>
      <w:r w:rsidR="59321497" w:rsidRPr="00392F3D">
        <w:rPr>
          <w:lang w:val="pt-PT"/>
        </w:rPr>
        <w:t xml:space="preserve">é provável que seja uma </w:t>
      </w:r>
      <w:r w:rsidR="496A9C3B" w:rsidRPr="00392F3D">
        <w:rPr>
          <w:lang w:val="pt-PT"/>
        </w:rPr>
        <w:t>subestimação</w:t>
      </w:r>
      <w:r w:rsidR="540D5BE5" w:rsidRPr="00392F3D">
        <w:rPr>
          <w:lang w:val="pt-PT"/>
        </w:rPr>
        <w:t xml:space="preserve">. O Spectrum </w:t>
      </w:r>
      <w:r w:rsidR="00324AC7" w:rsidRPr="00392F3D">
        <w:rPr>
          <w:lang w:val="pt-PT"/>
        </w:rPr>
        <w:t xml:space="preserve">oferece agora a opção de </w:t>
      </w:r>
      <w:r w:rsidR="540D5BE5" w:rsidRPr="00392F3D">
        <w:rPr>
          <w:lang w:val="pt-PT"/>
        </w:rPr>
        <w:t xml:space="preserve">estimar o número de crianças seropositivas </w:t>
      </w:r>
      <w:r w:rsidR="0055565F" w:rsidRPr="00392F3D">
        <w:rPr>
          <w:lang w:val="pt-PT"/>
        </w:rPr>
        <w:t>que conhecem o seu estado</w:t>
      </w:r>
      <w:r w:rsidR="16D5AF3B" w:rsidRPr="00392F3D">
        <w:rPr>
          <w:lang w:val="pt-PT"/>
        </w:rPr>
        <w:t xml:space="preserve">. Isto é calculado </w:t>
      </w:r>
      <w:r w:rsidR="0055565F" w:rsidRPr="00392F3D">
        <w:rPr>
          <w:lang w:val="pt-PT"/>
        </w:rPr>
        <w:t xml:space="preserve">utilizando </w:t>
      </w:r>
      <w:r w:rsidR="26C3C002" w:rsidRPr="00392F3D">
        <w:rPr>
          <w:lang w:val="pt-PT"/>
        </w:rPr>
        <w:t xml:space="preserve">o </w:t>
      </w:r>
      <w:r w:rsidR="00324AC7" w:rsidRPr="00392F3D">
        <w:rPr>
          <w:lang w:val="pt-PT"/>
        </w:rPr>
        <w:t xml:space="preserve">número </w:t>
      </w:r>
      <w:r w:rsidR="4B1E239F" w:rsidRPr="00392F3D">
        <w:rPr>
          <w:lang w:val="pt-PT"/>
        </w:rPr>
        <w:t xml:space="preserve">de crianças </w:t>
      </w:r>
      <w:r w:rsidR="00324AC7" w:rsidRPr="00392F3D">
        <w:rPr>
          <w:lang w:val="pt-PT"/>
        </w:rPr>
        <w:t xml:space="preserve">em TARV (introduzido no editor Child Treatment (Tratamento da criança)) mais </w:t>
      </w:r>
      <w:r w:rsidR="470F91E2" w:rsidRPr="00392F3D">
        <w:rPr>
          <w:lang w:val="pt-PT"/>
        </w:rPr>
        <w:t xml:space="preserve">o </w:t>
      </w:r>
      <w:r w:rsidR="00324AC7" w:rsidRPr="00392F3D">
        <w:rPr>
          <w:lang w:val="pt-PT"/>
        </w:rPr>
        <w:t xml:space="preserve">número anteriormente </w:t>
      </w:r>
      <w:r w:rsidR="001B22AB" w:rsidRPr="00392F3D">
        <w:rPr>
          <w:lang w:val="pt-PT"/>
        </w:rPr>
        <w:t xml:space="preserve">tratado </w:t>
      </w:r>
      <w:r w:rsidR="00324AC7" w:rsidRPr="00392F3D">
        <w:rPr>
          <w:lang w:val="pt-PT"/>
        </w:rPr>
        <w:t>(estimado utilizando as taxas de interrupção do tratamento no editor Child Treatment (Tratamento da criança)</w:t>
      </w:r>
      <w:r w:rsidR="001B22AB" w:rsidRPr="00392F3D">
        <w:rPr>
          <w:lang w:val="pt-PT"/>
        </w:rPr>
        <w:t xml:space="preserve">, ao mesmo tempo que se contabiliza o envelhecimento da coorte de crianças (0-14 anos) e as mortes. Clique no </w:t>
      </w:r>
      <w:r w:rsidR="19E59322" w:rsidRPr="00392F3D">
        <w:rPr>
          <w:lang w:val="pt-PT"/>
        </w:rPr>
        <w:t>botão "</w:t>
      </w:r>
      <w:r w:rsidR="00D111F0" w:rsidRPr="00392F3D">
        <w:rPr>
          <w:lang w:val="pt-PT"/>
        </w:rPr>
        <w:t>Calcular o conhecimento do estado da criança</w:t>
      </w:r>
      <w:r w:rsidR="19E59322" w:rsidRPr="00392F3D">
        <w:rPr>
          <w:lang w:val="pt-PT"/>
        </w:rPr>
        <w:t xml:space="preserve">" </w:t>
      </w:r>
      <w:r w:rsidR="001B22AB" w:rsidRPr="00392F3D">
        <w:rPr>
          <w:lang w:val="pt-PT"/>
        </w:rPr>
        <w:t xml:space="preserve">no </w:t>
      </w:r>
      <w:r w:rsidR="19E59322" w:rsidRPr="00392F3D">
        <w:rPr>
          <w:lang w:val="pt-PT"/>
        </w:rPr>
        <w:t xml:space="preserve">editor Conhecimento do estado </w:t>
      </w:r>
      <w:r w:rsidR="001B22AB" w:rsidRPr="00392F3D">
        <w:rPr>
          <w:lang w:val="pt-PT"/>
        </w:rPr>
        <w:t xml:space="preserve">para utilizar esta </w:t>
      </w:r>
      <w:r w:rsidR="00716FE4" w:rsidRPr="00392F3D">
        <w:rPr>
          <w:lang w:val="pt-PT"/>
        </w:rPr>
        <w:t xml:space="preserve">nova funcionalidade. </w:t>
      </w:r>
    </w:p>
    <w:p w14:paraId="6BED33C0" w14:textId="77777777" w:rsidR="00CD5814" w:rsidRPr="00392F3D" w:rsidRDefault="24C55949">
      <w:pPr>
        <w:pStyle w:val="Heading2"/>
        <w:rPr>
          <w:lang w:val="pt-PT"/>
        </w:rPr>
      </w:pPr>
      <w:r w:rsidRPr="00392F3D">
        <w:rPr>
          <w:lang w:val="pt-PT"/>
        </w:rPr>
        <w:t>Parâmetros</w:t>
      </w:r>
      <w:r w:rsidR="00943593" w:rsidRPr="00392F3D">
        <w:rPr>
          <w:lang w:val="pt-PT"/>
        </w:rPr>
        <w:t xml:space="preserve"> por defeito </w:t>
      </w:r>
      <w:r w:rsidR="1010C5C0" w:rsidRPr="00392F3D">
        <w:rPr>
          <w:lang w:val="pt-PT"/>
        </w:rPr>
        <w:t xml:space="preserve">e </w:t>
      </w:r>
      <w:r w:rsidR="00943593" w:rsidRPr="00392F3D">
        <w:rPr>
          <w:lang w:val="pt-PT"/>
        </w:rPr>
        <w:t>padrões</w:t>
      </w:r>
      <w:r w:rsidR="1FD0D971" w:rsidRPr="00392F3D">
        <w:rPr>
          <w:lang w:val="pt-PT"/>
        </w:rPr>
        <w:t xml:space="preserve"> regionais</w:t>
      </w:r>
    </w:p>
    <w:p w14:paraId="05E73B20" w14:textId="42F942E3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>Tendências d</w:t>
      </w:r>
      <w:r w:rsidR="00911BE5">
        <w:rPr>
          <w:b/>
          <w:bCs/>
          <w:lang w:val="pt-PT"/>
        </w:rPr>
        <w:t>a</w:t>
      </w:r>
      <w:r w:rsidRPr="00392F3D">
        <w:rPr>
          <w:b/>
          <w:bCs/>
          <w:lang w:val="pt-PT"/>
        </w:rPr>
        <w:t xml:space="preserve"> mortalidade </w:t>
      </w:r>
      <w:r w:rsidR="00911BE5">
        <w:rPr>
          <w:b/>
          <w:bCs/>
          <w:lang w:val="pt-PT"/>
        </w:rPr>
        <w:t>Em</w:t>
      </w:r>
      <w:r w:rsidRPr="00392F3D">
        <w:rPr>
          <w:b/>
          <w:bCs/>
          <w:lang w:val="pt-PT"/>
        </w:rPr>
        <w:t>-</w:t>
      </w:r>
      <w:r w:rsidR="00911BE5">
        <w:rPr>
          <w:b/>
          <w:bCs/>
          <w:lang w:val="pt-PT"/>
        </w:rPr>
        <w:t>T</w:t>
      </w:r>
      <w:r w:rsidRPr="00392F3D">
        <w:rPr>
          <w:b/>
          <w:bCs/>
          <w:lang w:val="pt-PT"/>
        </w:rPr>
        <w:t>AR</w:t>
      </w:r>
      <w:r w:rsidR="00911BE5">
        <w:rPr>
          <w:b/>
          <w:bCs/>
          <w:lang w:val="pt-PT"/>
        </w:rPr>
        <w:t>V</w:t>
      </w:r>
      <w:r w:rsidRPr="00392F3D">
        <w:rPr>
          <w:lang w:val="pt-PT"/>
        </w:rPr>
        <w:t xml:space="preserve">. A tendência temporal da mortalidade de adultos em TARV com duração superior a 12 meses foi actualizada para se manter constante após 2018. Anteriormente, tinha sido projectada para continuar a diminuir até 2021 </w:t>
      </w:r>
      <w:r w:rsidR="00A27FEA" w:rsidRPr="00392F3D">
        <w:rPr>
          <w:lang w:val="pt-PT"/>
        </w:rPr>
        <w:t xml:space="preserve">(assumindo que </w:t>
      </w:r>
      <w:r w:rsidR="00483E0F" w:rsidRPr="00392F3D">
        <w:rPr>
          <w:lang w:val="pt-PT"/>
        </w:rPr>
        <w:t>a melhoria dos regimes anti-retrovirais continuava a aumentar a sobrevivência)</w:t>
      </w:r>
      <w:r w:rsidRPr="00392F3D">
        <w:rPr>
          <w:lang w:val="pt-PT"/>
        </w:rPr>
        <w:t xml:space="preserve">. </w:t>
      </w:r>
      <w:r w:rsidR="00B268D1" w:rsidRPr="00392F3D">
        <w:rPr>
          <w:lang w:val="pt-PT"/>
        </w:rPr>
        <w:t xml:space="preserve">A alteração implica </w:t>
      </w:r>
      <w:r w:rsidR="00A27B33" w:rsidRPr="00392F3D">
        <w:rPr>
          <w:lang w:val="pt-PT"/>
        </w:rPr>
        <w:t xml:space="preserve">estimativas </w:t>
      </w:r>
      <w:r w:rsidR="00BF4F61" w:rsidRPr="00392F3D">
        <w:rPr>
          <w:lang w:val="pt-PT"/>
        </w:rPr>
        <w:t xml:space="preserve">ligeiramente mais elevadas </w:t>
      </w:r>
      <w:r w:rsidR="00A27B33" w:rsidRPr="00392F3D">
        <w:rPr>
          <w:lang w:val="pt-PT"/>
        </w:rPr>
        <w:t>de P</w:t>
      </w:r>
      <w:r w:rsidR="00911BE5">
        <w:rPr>
          <w:lang w:val="pt-PT"/>
        </w:rPr>
        <w:t>V</w:t>
      </w:r>
      <w:r w:rsidR="00A27B33" w:rsidRPr="00392F3D">
        <w:rPr>
          <w:lang w:val="pt-PT"/>
        </w:rPr>
        <w:t>VI</w:t>
      </w:r>
      <w:r w:rsidR="00911BE5">
        <w:rPr>
          <w:lang w:val="pt-PT"/>
        </w:rPr>
        <w:t>H</w:t>
      </w:r>
      <w:r w:rsidR="00A27B33" w:rsidRPr="00392F3D">
        <w:rPr>
          <w:lang w:val="pt-PT"/>
        </w:rPr>
        <w:t xml:space="preserve"> </w:t>
      </w:r>
      <w:r w:rsidR="006F48FC" w:rsidRPr="00392F3D">
        <w:rPr>
          <w:lang w:val="pt-PT"/>
        </w:rPr>
        <w:t>e/ou incidência</w:t>
      </w:r>
      <w:r w:rsidR="00A27B33" w:rsidRPr="00392F3D">
        <w:rPr>
          <w:lang w:val="pt-PT"/>
        </w:rPr>
        <w:t>, para alguns contextos.</w:t>
      </w:r>
      <w:r w:rsidRPr="00392F3D">
        <w:rPr>
          <w:lang w:val="pt-PT"/>
        </w:rPr>
        <w:br/>
      </w:r>
    </w:p>
    <w:p w14:paraId="12D3DD2C" w14:textId="61845848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 xml:space="preserve">Padrões regionais de mortalidade em TARV. </w:t>
      </w:r>
      <w:r w:rsidRPr="00392F3D">
        <w:rPr>
          <w:lang w:val="pt-PT"/>
        </w:rPr>
        <w:t xml:space="preserve">As taxas de mortalidade em TARV para as regiões da Ásia-Pacífico e da América Latina </w:t>
      </w:r>
      <w:r w:rsidR="00ED6EFE">
        <w:rPr>
          <w:lang w:val="pt-PT"/>
        </w:rPr>
        <w:t xml:space="preserve">+ Caribe </w:t>
      </w:r>
      <w:r w:rsidRPr="00392F3D">
        <w:rPr>
          <w:lang w:val="pt-PT"/>
        </w:rPr>
        <w:t xml:space="preserve">foram actualizadas com base na análise </w:t>
      </w:r>
      <w:r w:rsidR="00B07BDE" w:rsidRPr="00392F3D">
        <w:rPr>
          <w:lang w:val="pt-PT"/>
        </w:rPr>
        <w:t xml:space="preserve">do </w:t>
      </w:r>
      <w:r w:rsidRPr="00392F3D">
        <w:rPr>
          <w:lang w:val="pt-PT"/>
        </w:rPr>
        <w:t>Consórcio IeDEA</w:t>
      </w:r>
      <w:r w:rsidR="00B07BDE" w:rsidRPr="00392F3D">
        <w:rPr>
          <w:lang w:val="pt-PT"/>
        </w:rPr>
        <w:t>, reflectindo os efeitos de regimes anti-retrovirais melhorados</w:t>
      </w:r>
      <w:r w:rsidRPr="00392F3D">
        <w:rPr>
          <w:lang w:val="pt-PT"/>
        </w:rPr>
        <w:t xml:space="preserve">. Uma vez que não </w:t>
      </w:r>
      <w:r w:rsidR="00463ED7" w:rsidRPr="00392F3D">
        <w:rPr>
          <w:lang w:val="pt-PT"/>
        </w:rPr>
        <w:t xml:space="preserve">estavam </w:t>
      </w:r>
      <w:r w:rsidRPr="00392F3D">
        <w:rPr>
          <w:lang w:val="pt-PT"/>
        </w:rPr>
        <w:t xml:space="preserve">disponíveis </w:t>
      </w:r>
      <w:r w:rsidR="00463ED7" w:rsidRPr="00392F3D">
        <w:rPr>
          <w:lang w:val="pt-PT"/>
        </w:rPr>
        <w:t xml:space="preserve">novos </w:t>
      </w:r>
      <w:r w:rsidRPr="00392F3D">
        <w:rPr>
          <w:lang w:val="pt-PT"/>
        </w:rPr>
        <w:t xml:space="preserve">dados </w:t>
      </w:r>
      <w:r w:rsidR="0053158B" w:rsidRPr="00392F3D">
        <w:rPr>
          <w:lang w:val="pt-PT"/>
        </w:rPr>
        <w:t xml:space="preserve">da </w:t>
      </w:r>
      <w:r w:rsidRPr="00392F3D">
        <w:rPr>
          <w:lang w:val="pt-PT"/>
        </w:rPr>
        <w:t xml:space="preserve">Europa de Leste </w:t>
      </w:r>
      <w:r w:rsidR="0053158B" w:rsidRPr="00392F3D">
        <w:rPr>
          <w:lang w:val="pt-PT"/>
        </w:rPr>
        <w:t xml:space="preserve">ou do </w:t>
      </w:r>
      <w:r w:rsidRPr="00392F3D">
        <w:rPr>
          <w:lang w:val="pt-PT"/>
        </w:rPr>
        <w:t xml:space="preserve">Médio Oriente e Norte de África, </w:t>
      </w:r>
      <w:r w:rsidR="0053158B" w:rsidRPr="00392F3D">
        <w:rPr>
          <w:lang w:val="pt-PT"/>
        </w:rPr>
        <w:t xml:space="preserve">os padrões para </w:t>
      </w:r>
      <w:r w:rsidR="0053158B" w:rsidRPr="00392F3D">
        <w:rPr>
          <w:lang w:val="pt-PT"/>
        </w:rPr>
        <w:lastRenderedPageBreak/>
        <w:t xml:space="preserve">estas regiões </w:t>
      </w:r>
      <w:r w:rsidRPr="00392F3D">
        <w:rPr>
          <w:lang w:val="pt-PT"/>
        </w:rPr>
        <w:t xml:space="preserve">foram actualizados para corresponderem às suas regiões de substituição: América Latina para a Europa de Leste e África Oriental para o </w:t>
      </w:r>
      <w:r w:rsidR="16614A2E" w:rsidRPr="00392F3D">
        <w:rPr>
          <w:lang w:val="pt-PT"/>
        </w:rPr>
        <w:t>Médio Oriente e Norte de África</w:t>
      </w:r>
      <w:r w:rsidRPr="00392F3D">
        <w:rPr>
          <w:lang w:val="pt-PT"/>
        </w:rPr>
        <w:t xml:space="preserve">. </w:t>
      </w:r>
      <w:r w:rsidRPr="00392F3D">
        <w:rPr>
          <w:lang w:val="pt-PT"/>
        </w:rPr>
        <w:br/>
      </w:r>
    </w:p>
    <w:p w14:paraId="64D88A58" w14:textId="77777777" w:rsidR="00CD5814" w:rsidRDefault="00943593">
      <w:pPr>
        <w:pStyle w:val="Heading2"/>
      </w:pPr>
      <w:proofErr w:type="spellStart"/>
      <w:r>
        <w:t>Modelos</w:t>
      </w:r>
      <w:proofErr w:type="spellEnd"/>
      <w:r>
        <w:t xml:space="preserve"> de </w:t>
      </w:r>
      <w:proofErr w:type="spellStart"/>
      <w:r>
        <w:t>incidência</w:t>
      </w:r>
      <w:proofErr w:type="spellEnd"/>
    </w:p>
    <w:p w14:paraId="624035FF" w14:textId="3880F406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>CSAVR</w:t>
      </w:r>
      <w:r w:rsidR="002A59FA">
        <w:rPr>
          <w:b/>
          <w:bCs/>
          <w:lang w:val="pt-PT"/>
        </w:rPr>
        <w:t xml:space="preserve"> curvas Splines</w:t>
      </w:r>
      <w:r w:rsidRPr="00392F3D">
        <w:rPr>
          <w:lang w:val="pt-PT"/>
        </w:rPr>
        <w:t xml:space="preserve">. Foi adicionada uma opção </w:t>
      </w:r>
      <w:r w:rsidR="005F107F" w:rsidRPr="00392F3D">
        <w:rPr>
          <w:lang w:val="pt-PT"/>
        </w:rPr>
        <w:t xml:space="preserve">que permite ao </w:t>
      </w:r>
      <w:r w:rsidRPr="00392F3D">
        <w:rPr>
          <w:lang w:val="pt-PT"/>
        </w:rPr>
        <w:t xml:space="preserve">utilizador especificar se o modelo deve utilizar 3, 4 ou 5 nós na </w:t>
      </w:r>
      <w:r w:rsidR="00D45ECF">
        <w:rPr>
          <w:lang w:val="pt-PT"/>
        </w:rPr>
        <w:t>S</w:t>
      </w:r>
      <w:r w:rsidRPr="00392F3D">
        <w:rPr>
          <w:lang w:val="pt-PT"/>
        </w:rPr>
        <w:t xml:space="preserve">pline. A predefinição continua a ser </w:t>
      </w:r>
      <w:r w:rsidR="005F107F" w:rsidRPr="00392F3D">
        <w:rPr>
          <w:lang w:val="pt-PT"/>
        </w:rPr>
        <w:t>5; um menor número de nós permite obter curvas mais suaves e planas, que são menos sensíveis a valores atípicos nos dados, por exemplo, quedas temporárias no</w:t>
      </w:r>
      <w:r w:rsidR="00911BE5">
        <w:rPr>
          <w:lang w:val="pt-PT"/>
        </w:rPr>
        <w:t xml:space="preserve"> reporte </w:t>
      </w:r>
      <w:r w:rsidR="005F107F" w:rsidRPr="00392F3D">
        <w:rPr>
          <w:lang w:val="pt-PT"/>
        </w:rPr>
        <w:t xml:space="preserve">de </w:t>
      </w:r>
      <w:r w:rsidR="00911BE5">
        <w:rPr>
          <w:lang w:val="pt-PT"/>
        </w:rPr>
        <w:t xml:space="preserve">novos </w:t>
      </w:r>
      <w:r w:rsidR="00911BE5" w:rsidRPr="00392F3D">
        <w:rPr>
          <w:lang w:val="pt-PT"/>
        </w:rPr>
        <w:t>casos durante</w:t>
      </w:r>
      <w:r w:rsidR="005F107F" w:rsidRPr="00392F3D">
        <w:rPr>
          <w:lang w:val="pt-PT"/>
        </w:rPr>
        <w:t xml:space="preserve"> crises nos sistemas de saúde</w:t>
      </w:r>
      <w:r w:rsidRPr="00392F3D">
        <w:rPr>
          <w:lang w:val="pt-PT"/>
        </w:rPr>
        <w:t xml:space="preserve">. </w:t>
      </w:r>
      <w:r w:rsidRPr="00392F3D">
        <w:rPr>
          <w:lang w:val="pt-PT"/>
        </w:rPr>
        <w:br/>
      </w:r>
    </w:p>
    <w:p w14:paraId="54646448" w14:textId="7E255FC2" w:rsidR="00CD5814" w:rsidRPr="00392F3D" w:rsidRDefault="143AF054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 xml:space="preserve">Restrição </w:t>
      </w:r>
      <w:r w:rsidR="00943593" w:rsidRPr="00392F3D">
        <w:rPr>
          <w:b/>
          <w:bCs/>
          <w:lang w:val="pt-PT"/>
        </w:rPr>
        <w:t xml:space="preserve">do CSAVR </w:t>
      </w:r>
      <w:r w:rsidR="7116C2C3" w:rsidRPr="00392F3D">
        <w:rPr>
          <w:b/>
          <w:bCs/>
          <w:lang w:val="pt-PT"/>
        </w:rPr>
        <w:t xml:space="preserve">sobre </w:t>
      </w:r>
      <w:r w:rsidR="00943593" w:rsidRPr="00392F3D">
        <w:rPr>
          <w:b/>
          <w:bCs/>
          <w:lang w:val="pt-PT"/>
        </w:rPr>
        <w:t>as PV</w:t>
      </w:r>
      <w:r w:rsidR="00911BE5">
        <w:rPr>
          <w:b/>
          <w:bCs/>
          <w:lang w:val="pt-PT"/>
        </w:rPr>
        <w:t>VIH</w:t>
      </w:r>
      <w:r w:rsidR="00943593" w:rsidRPr="00392F3D">
        <w:rPr>
          <w:lang w:val="pt-PT"/>
        </w:rPr>
        <w:t xml:space="preserve">. </w:t>
      </w:r>
      <w:r w:rsidR="0096342D" w:rsidRPr="00392F3D">
        <w:rPr>
          <w:lang w:val="pt-PT"/>
        </w:rPr>
        <w:t xml:space="preserve">O CSAVR foi melhorado para </w:t>
      </w:r>
      <w:r w:rsidR="00943593" w:rsidRPr="00392F3D">
        <w:rPr>
          <w:lang w:val="pt-PT"/>
        </w:rPr>
        <w:t xml:space="preserve">limitar </w:t>
      </w:r>
      <w:r w:rsidR="0096342D" w:rsidRPr="00392F3D">
        <w:rPr>
          <w:lang w:val="pt-PT"/>
        </w:rPr>
        <w:t xml:space="preserve">a </w:t>
      </w:r>
      <w:r w:rsidR="00943593" w:rsidRPr="00392F3D">
        <w:rPr>
          <w:lang w:val="pt-PT"/>
        </w:rPr>
        <w:t xml:space="preserve">estimativa de </w:t>
      </w:r>
      <w:r w:rsidR="00157FE3" w:rsidRPr="00392F3D">
        <w:rPr>
          <w:lang w:val="pt-PT"/>
        </w:rPr>
        <w:t xml:space="preserve">pessoas que vivem com o VIH </w:t>
      </w:r>
      <w:r w:rsidR="00943593" w:rsidRPr="00392F3D">
        <w:rPr>
          <w:lang w:val="pt-PT"/>
        </w:rPr>
        <w:t xml:space="preserve">a ser, pelo menos, tão grande como o número de pessoas que recebem TARV </w:t>
      </w:r>
      <w:r w:rsidR="00911BE5">
        <w:rPr>
          <w:lang w:val="pt-PT"/>
        </w:rPr>
        <w:t xml:space="preserve">reportado </w:t>
      </w:r>
      <w:r w:rsidR="18D3822D" w:rsidRPr="00392F3D">
        <w:rPr>
          <w:lang w:val="pt-PT"/>
        </w:rPr>
        <w:t xml:space="preserve">pelo </w:t>
      </w:r>
      <w:r w:rsidR="0096342D" w:rsidRPr="00392F3D">
        <w:rPr>
          <w:lang w:val="pt-PT"/>
        </w:rPr>
        <w:t>programa</w:t>
      </w:r>
      <w:r w:rsidR="00943593" w:rsidRPr="00392F3D">
        <w:rPr>
          <w:lang w:val="pt-PT"/>
        </w:rPr>
        <w:t xml:space="preserve">. </w:t>
      </w:r>
      <w:r w:rsidR="46BF0EF2" w:rsidRPr="00392F3D">
        <w:rPr>
          <w:lang w:val="pt-PT"/>
        </w:rPr>
        <w:t xml:space="preserve">Em </w:t>
      </w:r>
      <w:r w:rsidR="0096342D" w:rsidRPr="00392F3D">
        <w:rPr>
          <w:lang w:val="pt-PT"/>
        </w:rPr>
        <w:t xml:space="preserve">casos excepcionais, o utilizador pode </w:t>
      </w:r>
      <w:r w:rsidR="4C793F21" w:rsidRPr="00392F3D">
        <w:rPr>
          <w:lang w:val="pt-PT"/>
        </w:rPr>
        <w:t xml:space="preserve">contornar </w:t>
      </w:r>
      <w:r w:rsidR="0096342D" w:rsidRPr="00392F3D">
        <w:rPr>
          <w:lang w:val="pt-PT"/>
        </w:rPr>
        <w:t xml:space="preserve">esta restrição </w:t>
      </w:r>
      <w:r w:rsidR="00BD11A1" w:rsidRPr="00392F3D">
        <w:rPr>
          <w:lang w:val="pt-PT"/>
        </w:rPr>
        <w:t xml:space="preserve">se os dados de TARV do programa não forem </w:t>
      </w:r>
      <w:r w:rsidR="00045E98" w:rsidRPr="00392F3D">
        <w:rPr>
          <w:lang w:val="pt-PT"/>
        </w:rPr>
        <w:t xml:space="preserve">considerados </w:t>
      </w:r>
      <w:r w:rsidR="00BD11A1" w:rsidRPr="00392F3D">
        <w:rPr>
          <w:lang w:val="pt-PT"/>
        </w:rPr>
        <w:t>fiáveis</w:t>
      </w:r>
      <w:r w:rsidR="0096342D" w:rsidRPr="00392F3D">
        <w:rPr>
          <w:lang w:val="pt-PT"/>
        </w:rPr>
        <w:t xml:space="preserve">. </w:t>
      </w:r>
      <w:r w:rsidR="00F67433" w:rsidRPr="00392F3D">
        <w:rPr>
          <w:lang w:val="pt-PT"/>
        </w:rPr>
        <w:br/>
      </w:r>
    </w:p>
    <w:p w14:paraId="2A680688" w14:textId="74C41672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 xml:space="preserve">CSAVR </w:t>
      </w:r>
      <w:r w:rsidR="0096342D" w:rsidRPr="00392F3D">
        <w:rPr>
          <w:b/>
          <w:bCs/>
          <w:lang w:val="pt-PT"/>
        </w:rPr>
        <w:t>"</w:t>
      </w:r>
      <w:r w:rsidRPr="00392F3D">
        <w:rPr>
          <w:b/>
          <w:bCs/>
          <w:lang w:val="pt-PT"/>
        </w:rPr>
        <w:t xml:space="preserve">Ajustar todos os </w:t>
      </w:r>
      <w:r w:rsidR="00E60D0B" w:rsidRPr="00392F3D">
        <w:rPr>
          <w:b/>
          <w:bCs/>
          <w:lang w:val="pt-PT"/>
        </w:rPr>
        <w:t>modelos</w:t>
      </w:r>
      <w:r w:rsidR="0096342D" w:rsidRPr="00392F3D">
        <w:rPr>
          <w:b/>
          <w:bCs/>
          <w:lang w:val="pt-PT"/>
        </w:rPr>
        <w:t>"</w:t>
      </w:r>
      <w:r w:rsidRPr="00392F3D">
        <w:rPr>
          <w:lang w:val="pt-PT"/>
        </w:rPr>
        <w:t xml:space="preserve">. Um novo botão permite ao utilizador ajustar os </w:t>
      </w:r>
      <w:r w:rsidR="00D45ECF">
        <w:rPr>
          <w:lang w:val="pt-PT"/>
        </w:rPr>
        <w:t>seis</w:t>
      </w:r>
      <w:r w:rsidRPr="00392F3D">
        <w:rPr>
          <w:lang w:val="pt-PT"/>
        </w:rPr>
        <w:t xml:space="preserve"> modelos ao mesmo tempo</w:t>
      </w:r>
      <w:r w:rsidR="00E954FE" w:rsidRPr="00E954FE">
        <w:rPr>
          <w:lang w:val="pt-PT"/>
        </w:rPr>
        <w:t>, incluindo as duas novas opções de Spline.</w:t>
      </w:r>
      <w:r w:rsidRPr="00392F3D">
        <w:rPr>
          <w:lang w:val="pt-PT"/>
        </w:rPr>
        <w:br/>
      </w:r>
    </w:p>
    <w:p w14:paraId="73CF6A37" w14:textId="77777777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>ECDC</w:t>
      </w:r>
      <w:r w:rsidRPr="00392F3D">
        <w:rPr>
          <w:lang w:val="pt-PT"/>
        </w:rPr>
        <w:t xml:space="preserve">. O Spectrum </w:t>
      </w:r>
      <w:r w:rsidR="001B39A2" w:rsidRPr="00392F3D">
        <w:rPr>
          <w:lang w:val="pt-PT"/>
        </w:rPr>
        <w:t xml:space="preserve">pode agora </w:t>
      </w:r>
      <w:r w:rsidRPr="00392F3D">
        <w:rPr>
          <w:lang w:val="pt-PT"/>
        </w:rPr>
        <w:t xml:space="preserve">ler os resultados da versão 2024 da plataforma de modelação do ECDC. </w:t>
      </w:r>
    </w:p>
    <w:p w14:paraId="772AC5E0" w14:textId="77777777" w:rsidR="006448B0" w:rsidRPr="00392F3D" w:rsidRDefault="006448B0" w:rsidP="005D4AC7">
      <w:pPr>
        <w:pStyle w:val="Heading2"/>
        <w:rPr>
          <w:lang w:val="pt-PT"/>
        </w:rPr>
      </w:pPr>
    </w:p>
    <w:p w14:paraId="3EF612FE" w14:textId="77777777" w:rsidR="00CD5814" w:rsidRDefault="005D4AC7">
      <w:pPr>
        <w:pStyle w:val="Heading2"/>
      </w:pPr>
      <w:proofErr w:type="spellStart"/>
      <w:r>
        <w:t>Resultados</w:t>
      </w:r>
      <w:proofErr w:type="spellEnd"/>
    </w:p>
    <w:p w14:paraId="0143746B" w14:textId="13C03673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>Cotrimoxazol para crianças</w:t>
      </w:r>
      <w:r w:rsidRPr="00392F3D">
        <w:rPr>
          <w:lang w:val="pt-PT"/>
        </w:rPr>
        <w:t>. O cálculo dos efeitos do cotrimoxazol na mortalidade infantil por VIH foi antecipado na sequência da proje</w:t>
      </w:r>
      <w:r w:rsidR="00911BE5">
        <w:rPr>
          <w:lang w:val="pt-PT"/>
        </w:rPr>
        <w:t>c</w:t>
      </w:r>
      <w:r w:rsidRPr="00392F3D">
        <w:rPr>
          <w:lang w:val="pt-PT"/>
        </w:rPr>
        <w:t>ção</w:t>
      </w:r>
      <w:r w:rsidR="00FF4E81" w:rsidRPr="00392F3D">
        <w:rPr>
          <w:lang w:val="pt-PT"/>
        </w:rPr>
        <w:t xml:space="preserve">, </w:t>
      </w:r>
      <w:r w:rsidRPr="00392F3D">
        <w:rPr>
          <w:lang w:val="pt-PT"/>
        </w:rPr>
        <w:t xml:space="preserve">para captar corretamente os efeitos no ano de fornecimento </w:t>
      </w:r>
      <w:r w:rsidR="00521F25" w:rsidRPr="00392F3D">
        <w:rPr>
          <w:lang w:val="pt-PT"/>
        </w:rPr>
        <w:t>do</w:t>
      </w:r>
      <w:r w:rsidRPr="00392F3D">
        <w:rPr>
          <w:lang w:val="pt-PT"/>
        </w:rPr>
        <w:t xml:space="preserve"> cotrimoxazol. Este facto provocará </w:t>
      </w:r>
      <w:r w:rsidR="00232F10" w:rsidRPr="00392F3D">
        <w:rPr>
          <w:lang w:val="pt-PT"/>
        </w:rPr>
        <w:t xml:space="preserve">uma pequena </w:t>
      </w:r>
      <w:r w:rsidRPr="00392F3D">
        <w:rPr>
          <w:lang w:val="pt-PT"/>
        </w:rPr>
        <w:t xml:space="preserve">alteração </w:t>
      </w:r>
      <w:r w:rsidR="00232F10" w:rsidRPr="00392F3D">
        <w:rPr>
          <w:lang w:val="pt-PT"/>
        </w:rPr>
        <w:t xml:space="preserve">no </w:t>
      </w:r>
      <w:r w:rsidR="00DE1E04" w:rsidRPr="00392F3D">
        <w:rPr>
          <w:lang w:val="pt-PT"/>
        </w:rPr>
        <w:t>número</w:t>
      </w:r>
      <w:r w:rsidRPr="00392F3D">
        <w:rPr>
          <w:lang w:val="pt-PT"/>
        </w:rPr>
        <w:t xml:space="preserve"> estimado de mortes de crianças. </w:t>
      </w:r>
      <w:r w:rsidRPr="00392F3D">
        <w:rPr>
          <w:lang w:val="pt-PT"/>
        </w:rPr>
        <w:br/>
      </w:r>
    </w:p>
    <w:p w14:paraId="13D5CDB1" w14:textId="1969D199" w:rsidR="00CD5814" w:rsidRPr="00392F3D" w:rsidRDefault="00B217AB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>Populações-chave</w:t>
      </w:r>
      <w:r w:rsidRPr="00392F3D">
        <w:rPr>
          <w:lang w:val="pt-PT"/>
        </w:rPr>
        <w:t xml:space="preserve">. </w:t>
      </w:r>
      <w:r w:rsidR="00FF13F4" w:rsidRPr="00392F3D">
        <w:rPr>
          <w:lang w:val="pt-PT"/>
        </w:rPr>
        <w:t xml:space="preserve">Se tiver completado o </w:t>
      </w:r>
      <w:r w:rsidR="00CD66C1" w:rsidRPr="00392F3D">
        <w:rPr>
          <w:lang w:val="pt-PT"/>
        </w:rPr>
        <w:t xml:space="preserve">seu Livro </w:t>
      </w:r>
      <w:r w:rsidR="00FF13F4" w:rsidRPr="00392F3D">
        <w:rPr>
          <w:lang w:val="pt-PT"/>
        </w:rPr>
        <w:t xml:space="preserve">de Exercícios de Populações-Chave </w:t>
      </w:r>
      <w:r w:rsidR="00E270E4" w:rsidRPr="00392F3D">
        <w:rPr>
          <w:lang w:val="pt-PT"/>
        </w:rPr>
        <w:t xml:space="preserve">e importado o ficheiro em Estatísticas do Programa &gt; </w:t>
      </w:r>
      <w:r w:rsidR="006359BB" w:rsidRPr="00392F3D">
        <w:rPr>
          <w:lang w:val="pt-PT"/>
        </w:rPr>
        <w:t xml:space="preserve">Populações-Chave, </w:t>
      </w:r>
      <w:r w:rsidR="005270A8" w:rsidRPr="00392F3D">
        <w:rPr>
          <w:lang w:val="pt-PT"/>
        </w:rPr>
        <w:t xml:space="preserve">estes dados </w:t>
      </w:r>
      <w:r w:rsidR="00BF1EB1" w:rsidRPr="00392F3D">
        <w:rPr>
          <w:lang w:val="pt-PT"/>
        </w:rPr>
        <w:t xml:space="preserve">e estimativas também estão disponíveis </w:t>
      </w:r>
      <w:r w:rsidR="009D76E9" w:rsidRPr="00392F3D">
        <w:rPr>
          <w:lang w:val="pt-PT"/>
        </w:rPr>
        <w:t xml:space="preserve">em Resultados &gt; Adultos 15+ &gt; Estimativas de populações-chave. </w:t>
      </w:r>
      <w:r w:rsidRPr="00392F3D">
        <w:rPr>
          <w:lang w:val="pt-PT"/>
        </w:rPr>
        <w:t xml:space="preserve">Os </w:t>
      </w:r>
      <w:r w:rsidR="00554849" w:rsidRPr="00392F3D">
        <w:rPr>
          <w:lang w:val="pt-PT"/>
        </w:rPr>
        <w:t xml:space="preserve">gráficos </w:t>
      </w:r>
      <w:r w:rsidRPr="00392F3D">
        <w:rPr>
          <w:lang w:val="pt-PT"/>
        </w:rPr>
        <w:t>apresentam novas infecções, prevalência do VIH, cobertura de TARV e estimativas do tamanho da população</w:t>
      </w:r>
      <w:r w:rsidR="00911BE5">
        <w:rPr>
          <w:lang w:val="pt-PT"/>
        </w:rPr>
        <w:t>.</w:t>
      </w:r>
      <w:r w:rsidR="00943593" w:rsidRPr="00392F3D">
        <w:rPr>
          <w:lang w:val="pt-PT"/>
        </w:rPr>
        <w:br/>
      </w:r>
    </w:p>
    <w:p w14:paraId="0C40C836" w14:textId="77777777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>Excesso de mortalidade entre as pessoas que consomem drogas</w:t>
      </w:r>
      <w:r w:rsidRPr="00392F3D">
        <w:rPr>
          <w:lang w:val="pt-PT"/>
        </w:rPr>
        <w:t xml:space="preserve">. O Spectrum inclui o excesso de mortalidade não relacionada com a SIDA entre as pessoas que tomam bebidas alcoólicas. Esse cálculo foi agora limitado aos ficheiros que utilizam o EPP </w:t>
      </w:r>
      <w:r w:rsidR="00B65688" w:rsidRPr="00392F3D">
        <w:rPr>
          <w:lang w:val="pt-PT"/>
        </w:rPr>
        <w:t>(</w:t>
      </w:r>
      <w:r w:rsidR="009B601D" w:rsidRPr="00392F3D">
        <w:rPr>
          <w:lang w:val="pt-PT"/>
        </w:rPr>
        <w:t xml:space="preserve">com </w:t>
      </w:r>
      <w:r w:rsidR="00B65688" w:rsidRPr="00392F3D">
        <w:rPr>
          <w:lang w:val="pt-PT"/>
        </w:rPr>
        <w:t xml:space="preserve">configuração de </w:t>
      </w:r>
      <w:r w:rsidR="009B601D" w:rsidRPr="00392F3D">
        <w:rPr>
          <w:i/>
          <w:iCs/>
          <w:lang w:val="pt-PT"/>
        </w:rPr>
        <w:t xml:space="preserve">epidemia </w:t>
      </w:r>
      <w:r w:rsidR="00B65688" w:rsidRPr="00392F3D">
        <w:rPr>
          <w:i/>
          <w:iCs/>
          <w:lang w:val="pt-PT"/>
        </w:rPr>
        <w:t>concentrada</w:t>
      </w:r>
      <w:r w:rsidR="00B65688" w:rsidRPr="00392F3D">
        <w:rPr>
          <w:lang w:val="pt-PT"/>
        </w:rPr>
        <w:t xml:space="preserve">) </w:t>
      </w:r>
      <w:r w:rsidRPr="00392F3D">
        <w:rPr>
          <w:lang w:val="pt-PT"/>
        </w:rPr>
        <w:t xml:space="preserve">ou o AEM </w:t>
      </w:r>
      <w:r w:rsidR="00192661" w:rsidRPr="00392F3D">
        <w:rPr>
          <w:lang w:val="pt-PT"/>
        </w:rPr>
        <w:t>que incluem uma estimativa para as pessoas que consomem drogas</w:t>
      </w:r>
      <w:r w:rsidRPr="00392F3D">
        <w:rPr>
          <w:lang w:val="pt-PT"/>
        </w:rPr>
        <w:t xml:space="preserve">. </w:t>
      </w:r>
      <w:r w:rsidRPr="00392F3D">
        <w:rPr>
          <w:lang w:val="pt-PT"/>
        </w:rPr>
        <w:br/>
      </w:r>
    </w:p>
    <w:p w14:paraId="2C4D747B" w14:textId="77777777" w:rsidR="00CD5814" w:rsidRDefault="00943593">
      <w:pPr>
        <w:pStyle w:val="Heading2"/>
      </w:pPr>
      <w:proofErr w:type="spellStart"/>
      <w:r>
        <w:t>Validação</w:t>
      </w:r>
      <w:proofErr w:type="spellEnd"/>
    </w:p>
    <w:p w14:paraId="327A5F00" w14:textId="7A06BE24" w:rsidR="00CD5814" w:rsidRPr="00392F3D" w:rsidRDefault="00943593">
      <w:pPr>
        <w:pStyle w:val="ListParagraph"/>
        <w:numPr>
          <w:ilvl w:val="0"/>
          <w:numId w:val="2"/>
        </w:numPr>
        <w:rPr>
          <w:b/>
          <w:bCs/>
          <w:lang w:val="pt-PT"/>
        </w:rPr>
      </w:pPr>
      <w:r w:rsidRPr="00392F3D">
        <w:rPr>
          <w:b/>
          <w:bCs/>
          <w:lang w:val="pt-PT"/>
        </w:rPr>
        <w:t xml:space="preserve">Crianças anteriormente tratadas. </w:t>
      </w:r>
      <w:r w:rsidR="00F70453" w:rsidRPr="00392F3D">
        <w:rPr>
          <w:lang w:val="pt-PT"/>
        </w:rPr>
        <w:t>Um novo ecrã de validação em "</w:t>
      </w:r>
      <w:r w:rsidR="00850481">
        <w:rPr>
          <w:lang w:val="pt-PT"/>
        </w:rPr>
        <w:t>T</w:t>
      </w:r>
      <w:r w:rsidR="00F70453" w:rsidRPr="00392F3D">
        <w:rPr>
          <w:lang w:val="pt-PT"/>
        </w:rPr>
        <w:t>AR</w:t>
      </w:r>
      <w:r w:rsidR="00850481">
        <w:rPr>
          <w:lang w:val="pt-PT"/>
        </w:rPr>
        <w:t>V</w:t>
      </w:r>
      <w:r w:rsidR="00F70453" w:rsidRPr="00392F3D">
        <w:rPr>
          <w:lang w:val="pt-PT"/>
        </w:rPr>
        <w:t xml:space="preserve">" </w:t>
      </w:r>
      <w:r w:rsidRPr="00392F3D">
        <w:rPr>
          <w:lang w:val="pt-PT"/>
        </w:rPr>
        <w:t xml:space="preserve">mostra a tendência estimada para as crianças que receberam </w:t>
      </w:r>
      <w:r w:rsidR="00850481">
        <w:rPr>
          <w:lang w:val="pt-PT"/>
        </w:rPr>
        <w:t xml:space="preserve">TARV </w:t>
      </w:r>
      <w:r w:rsidRPr="00392F3D">
        <w:rPr>
          <w:lang w:val="pt-PT"/>
        </w:rPr>
        <w:t>anteriormente, mas que não estão a</w:t>
      </w:r>
      <w:r w:rsidR="00850481">
        <w:rPr>
          <w:lang w:val="pt-PT"/>
        </w:rPr>
        <w:t>c</w:t>
      </w:r>
      <w:r w:rsidRPr="00392F3D">
        <w:rPr>
          <w:lang w:val="pt-PT"/>
        </w:rPr>
        <w:t xml:space="preserve">tualmente a receber </w:t>
      </w:r>
      <w:r w:rsidR="00850481">
        <w:rPr>
          <w:lang w:val="pt-PT"/>
        </w:rPr>
        <w:t>o TARV</w:t>
      </w:r>
      <w:r w:rsidRPr="00392F3D">
        <w:rPr>
          <w:lang w:val="pt-PT"/>
        </w:rPr>
        <w:t xml:space="preserve">. Este ecrã é semelhante ao ecrã para adultos. Por predefinição, o ecrã utilizará as taxas de interrupção do tratamento introduzidas no editor de dados do programa (Estatísticas do </w:t>
      </w:r>
      <w:r w:rsidRPr="00392F3D">
        <w:rPr>
          <w:lang w:val="pt-PT"/>
        </w:rPr>
        <w:lastRenderedPageBreak/>
        <w:t xml:space="preserve">programa &gt; Tratamento infantil), mas o utilizador pode introduzir uma taxa diferente para explorar a sensibilidade dos resultados a esta taxa. </w:t>
      </w:r>
      <w:r w:rsidR="00D10E20" w:rsidRPr="00392F3D">
        <w:rPr>
          <w:lang w:val="pt-PT"/>
        </w:rPr>
        <w:br/>
      </w:r>
    </w:p>
    <w:p w14:paraId="1B9B49B3" w14:textId="77777777" w:rsidR="00CD5814" w:rsidRDefault="00943593">
      <w:pPr>
        <w:pStyle w:val="ListParagraph"/>
        <w:numPr>
          <w:ilvl w:val="0"/>
          <w:numId w:val="2"/>
        </w:numPr>
      </w:pPr>
      <w:r w:rsidRPr="00392F3D">
        <w:rPr>
          <w:b/>
          <w:bCs/>
          <w:lang w:val="pt-PT"/>
        </w:rPr>
        <w:t>Cobertura de TARV</w:t>
      </w:r>
      <w:r w:rsidR="00F87224" w:rsidRPr="00392F3D">
        <w:rPr>
          <w:b/>
          <w:bCs/>
          <w:lang w:val="pt-PT"/>
        </w:rPr>
        <w:t xml:space="preserve">, </w:t>
      </w:r>
      <w:r w:rsidR="001206A6" w:rsidRPr="00392F3D">
        <w:rPr>
          <w:b/>
          <w:bCs/>
          <w:lang w:val="pt-PT"/>
        </w:rPr>
        <w:t xml:space="preserve">do </w:t>
      </w:r>
      <w:r w:rsidR="00F87224" w:rsidRPr="00392F3D">
        <w:rPr>
          <w:b/>
          <w:bCs/>
          <w:lang w:val="pt-PT"/>
        </w:rPr>
        <w:t xml:space="preserve">programa </w:t>
      </w:r>
      <w:r w:rsidR="00841099" w:rsidRPr="00392F3D">
        <w:rPr>
          <w:b/>
          <w:bCs/>
          <w:lang w:val="pt-PT"/>
        </w:rPr>
        <w:t xml:space="preserve">e </w:t>
      </w:r>
      <w:r w:rsidR="001206A6" w:rsidRPr="00392F3D">
        <w:rPr>
          <w:b/>
          <w:bCs/>
          <w:lang w:val="pt-PT"/>
        </w:rPr>
        <w:t xml:space="preserve">do </w:t>
      </w:r>
      <w:r w:rsidR="00F87224" w:rsidRPr="00392F3D">
        <w:rPr>
          <w:b/>
          <w:bCs/>
          <w:lang w:val="pt-PT"/>
        </w:rPr>
        <w:t>inquérito</w:t>
      </w:r>
      <w:r w:rsidR="005B74C5" w:rsidRPr="00392F3D">
        <w:rPr>
          <w:lang w:val="pt-PT"/>
        </w:rPr>
        <w:t xml:space="preserve">. Os novos </w:t>
      </w:r>
      <w:r w:rsidR="008057E2" w:rsidRPr="00392F3D">
        <w:rPr>
          <w:lang w:val="pt-PT"/>
        </w:rPr>
        <w:t xml:space="preserve">gráficos </w:t>
      </w:r>
      <w:r w:rsidR="005B74C5" w:rsidRPr="00392F3D">
        <w:rPr>
          <w:lang w:val="pt-PT"/>
        </w:rPr>
        <w:t xml:space="preserve">comparam </w:t>
      </w:r>
      <w:r w:rsidR="00271CBE" w:rsidRPr="00392F3D">
        <w:rPr>
          <w:lang w:val="pt-PT"/>
        </w:rPr>
        <w:t xml:space="preserve">a cobertura de </w:t>
      </w:r>
      <w:r w:rsidR="005B74C5" w:rsidRPr="00392F3D">
        <w:rPr>
          <w:lang w:val="pt-PT"/>
        </w:rPr>
        <w:t xml:space="preserve">pessoas em TARV </w:t>
      </w:r>
      <w:r w:rsidR="002C2556" w:rsidRPr="00392F3D">
        <w:rPr>
          <w:lang w:val="pt-PT"/>
        </w:rPr>
        <w:t xml:space="preserve">entre os </w:t>
      </w:r>
      <w:r w:rsidR="005B74C5" w:rsidRPr="00392F3D">
        <w:rPr>
          <w:lang w:val="pt-PT"/>
        </w:rPr>
        <w:t xml:space="preserve">dados do programa (introduzidos em Estatísticas do programa &gt; TARV para adultos) </w:t>
      </w:r>
      <w:r w:rsidR="002C2556" w:rsidRPr="00392F3D">
        <w:rPr>
          <w:lang w:val="pt-PT"/>
        </w:rPr>
        <w:t xml:space="preserve">e as estimativas </w:t>
      </w:r>
      <w:r w:rsidR="005B74C5" w:rsidRPr="00392F3D">
        <w:rPr>
          <w:lang w:val="pt-PT"/>
        </w:rPr>
        <w:t xml:space="preserve">baseadas num inquérito nacional (PHIA ou DHS). </w:t>
      </w:r>
      <w:r w:rsidR="002C2556" w:rsidRPr="00392F3D">
        <w:rPr>
          <w:lang w:val="pt-PT"/>
        </w:rPr>
        <w:t xml:space="preserve">O </w:t>
      </w:r>
      <w:r w:rsidR="005B74C5" w:rsidRPr="00392F3D">
        <w:rPr>
          <w:lang w:val="pt-PT"/>
        </w:rPr>
        <w:t>Spectrum</w:t>
      </w:r>
      <w:r w:rsidR="002C2556" w:rsidRPr="00392F3D">
        <w:rPr>
          <w:lang w:val="pt-PT"/>
        </w:rPr>
        <w:t xml:space="preserve"> obtém </w:t>
      </w:r>
      <w:r w:rsidR="005B74C5" w:rsidRPr="00392F3D">
        <w:rPr>
          <w:lang w:val="pt-PT"/>
        </w:rPr>
        <w:t xml:space="preserve">a estimativa de </w:t>
      </w:r>
      <w:r w:rsidR="00271CBE" w:rsidRPr="00392F3D">
        <w:rPr>
          <w:lang w:val="pt-PT"/>
        </w:rPr>
        <w:t xml:space="preserve">cobertura </w:t>
      </w:r>
      <w:r w:rsidR="002C2556" w:rsidRPr="00392F3D">
        <w:rPr>
          <w:lang w:val="pt-PT"/>
        </w:rPr>
        <w:t>baseada</w:t>
      </w:r>
      <w:r w:rsidR="005B74C5" w:rsidRPr="00392F3D">
        <w:rPr>
          <w:lang w:val="pt-PT"/>
        </w:rPr>
        <w:t xml:space="preserve"> no inquérito multiplicando a proporção em TARV </w:t>
      </w:r>
      <w:r w:rsidR="002C2556" w:rsidRPr="00392F3D">
        <w:rPr>
          <w:lang w:val="pt-PT"/>
        </w:rPr>
        <w:t>do</w:t>
      </w:r>
      <w:r w:rsidR="005B74C5" w:rsidRPr="00392F3D">
        <w:rPr>
          <w:lang w:val="pt-PT"/>
        </w:rPr>
        <w:t xml:space="preserve"> inquérito pelo número </w:t>
      </w:r>
      <w:r w:rsidR="002C2556" w:rsidRPr="00392F3D">
        <w:rPr>
          <w:lang w:val="pt-PT"/>
        </w:rPr>
        <w:t xml:space="preserve">estimado </w:t>
      </w:r>
      <w:r w:rsidR="005B74C5" w:rsidRPr="00392F3D">
        <w:rPr>
          <w:lang w:val="pt-PT"/>
        </w:rPr>
        <w:t xml:space="preserve">de pessoas </w:t>
      </w:r>
      <w:r w:rsidR="007B6884" w:rsidRPr="00392F3D">
        <w:rPr>
          <w:lang w:val="pt-PT"/>
        </w:rPr>
        <w:t xml:space="preserve">que vivem com VIH </w:t>
      </w:r>
      <w:r w:rsidR="005B74C5" w:rsidRPr="00392F3D">
        <w:rPr>
          <w:lang w:val="pt-PT"/>
        </w:rPr>
        <w:t>por idade e sexo.</w:t>
      </w:r>
      <w:r w:rsidR="001077A7" w:rsidRPr="00392F3D">
        <w:rPr>
          <w:lang w:val="pt-PT"/>
        </w:rPr>
        <w:t xml:space="preserve"> </w:t>
      </w:r>
      <w:proofErr w:type="spellStart"/>
      <w:r w:rsidR="001077A7">
        <w:t>Estão</w:t>
      </w:r>
      <w:proofErr w:type="spellEnd"/>
      <w:r w:rsidR="001077A7">
        <w:t xml:space="preserve"> </w:t>
      </w:r>
      <w:proofErr w:type="spellStart"/>
      <w:r w:rsidR="001077A7">
        <w:t>disponíveis</w:t>
      </w:r>
      <w:proofErr w:type="spellEnd"/>
      <w:r w:rsidR="001077A7">
        <w:t xml:space="preserve"> </w:t>
      </w:r>
      <w:proofErr w:type="spellStart"/>
      <w:r w:rsidR="001077A7">
        <w:t>três</w:t>
      </w:r>
      <w:proofErr w:type="spellEnd"/>
      <w:r w:rsidR="001077A7">
        <w:t xml:space="preserve"> </w:t>
      </w:r>
      <w:proofErr w:type="spellStart"/>
      <w:r w:rsidR="001077A7">
        <w:t>ecrãs</w:t>
      </w:r>
      <w:proofErr w:type="spellEnd"/>
      <w:r w:rsidR="001077A7">
        <w:t xml:space="preserve"> para </w:t>
      </w:r>
      <w:proofErr w:type="spellStart"/>
      <w:r w:rsidR="001077A7">
        <w:t>esta</w:t>
      </w:r>
      <w:proofErr w:type="spellEnd"/>
      <w:r w:rsidR="001077A7">
        <w:t xml:space="preserve"> </w:t>
      </w:r>
      <w:proofErr w:type="spellStart"/>
      <w:r w:rsidR="001077A7">
        <w:t>validação</w:t>
      </w:r>
      <w:proofErr w:type="spellEnd"/>
      <w:r w:rsidR="001077A7">
        <w:t>:</w:t>
      </w:r>
    </w:p>
    <w:p w14:paraId="2F6706D2" w14:textId="77777777" w:rsidR="00CD5814" w:rsidRPr="00392F3D" w:rsidRDefault="00943593">
      <w:pPr>
        <w:pStyle w:val="ListParagraph"/>
        <w:numPr>
          <w:ilvl w:val="1"/>
          <w:numId w:val="6"/>
        </w:numPr>
        <w:rPr>
          <w:lang w:val="pt-PT"/>
        </w:rPr>
      </w:pPr>
      <w:r w:rsidRPr="00392F3D">
        <w:rPr>
          <w:lang w:val="pt-PT"/>
        </w:rPr>
        <w:t xml:space="preserve">Cobertura de TARV por idade </w:t>
      </w:r>
      <w:r w:rsidR="00883BF1" w:rsidRPr="00392F3D">
        <w:rPr>
          <w:lang w:val="pt-PT"/>
        </w:rPr>
        <w:t>(para 1 ano de inquérito)</w:t>
      </w:r>
    </w:p>
    <w:p w14:paraId="1E7D7D9F" w14:textId="77777777" w:rsidR="00CD5814" w:rsidRPr="00392F3D" w:rsidRDefault="00943593">
      <w:pPr>
        <w:pStyle w:val="ListParagraph"/>
        <w:numPr>
          <w:ilvl w:val="1"/>
          <w:numId w:val="6"/>
        </w:numPr>
        <w:rPr>
          <w:lang w:val="pt-PT"/>
        </w:rPr>
      </w:pPr>
      <w:r w:rsidRPr="00392F3D">
        <w:rPr>
          <w:lang w:val="pt-PT"/>
        </w:rPr>
        <w:t xml:space="preserve">Cobertura de TARV ao longo do tempo </w:t>
      </w:r>
      <w:r w:rsidR="00883BF1" w:rsidRPr="00392F3D">
        <w:rPr>
          <w:lang w:val="pt-PT"/>
        </w:rPr>
        <w:t>(mostrando todos os inquéritos</w:t>
      </w:r>
      <w:r w:rsidR="002220CB" w:rsidRPr="00392F3D">
        <w:rPr>
          <w:lang w:val="pt-PT"/>
        </w:rPr>
        <w:t>, se mediram a cobertura para o grupo etário selecionado)</w:t>
      </w:r>
    </w:p>
    <w:p w14:paraId="4F48F7FE" w14:textId="77777777" w:rsidR="00CD5814" w:rsidRPr="00392F3D" w:rsidRDefault="00943593">
      <w:pPr>
        <w:pStyle w:val="ListParagraph"/>
        <w:numPr>
          <w:ilvl w:val="1"/>
          <w:numId w:val="6"/>
        </w:numPr>
        <w:rPr>
          <w:lang w:val="pt-PT"/>
        </w:rPr>
      </w:pPr>
      <w:r w:rsidRPr="00392F3D">
        <w:rPr>
          <w:lang w:val="pt-PT"/>
        </w:rPr>
        <w:t xml:space="preserve">Número de pessoas em TARV </w:t>
      </w:r>
      <w:r w:rsidR="002220CB" w:rsidRPr="00392F3D">
        <w:rPr>
          <w:lang w:val="pt-PT"/>
        </w:rPr>
        <w:t>(durante 1 ano de inquérito).</w:t>
      </w:r>
      <w:r w:rsidR="006F5967" w:rsidRPr="00392F3D">
        <w:rPr>
          <w:lang w:val="pt-PT"/>
        </w:rPr>
        <w:br/>
      </w:r>
    </w:p>
    <w:p w14:paraId="3D5EA872" w14:textId="77777777" w:rsidR="00CD5814" w:rsidRPr="00392F3D" w:rsidRDefault="00943593">
      <w:pPr>
        <w:pStyle w:val="ListParagraph"/>
        <w:numPr>
          <w:ilvl w:val="0"/>
          <w:numId w:val="2"/>
        </w:numPr>
        <w:rPr>
          <w:lang w:val="pt-PT"/>
        </w:rPr>
      </w:pPr>
      <w:r w:rsidRPr="00392F3D">
        <w:rPr>
          <w:b/>
          <w:bCs/>
          <w:lang w:val="pt-PT"/>
        </w:rPr>
        <w:t xml:space="preserve">Cobertura de ART </w:t>
      </w:r>
      <w:r w:rsidR="006900AA" w:rsidRPr="00392F3D">
        <w:rPr>
          <w:b/>
          <w:bCs/>
          <w:lang w:val="pt-PT"/>
        </w:rPr>
        <w:t xml:space="preserve">do programa versus </w:t>
      </w:r>
      <w:r w:rsidR="00C9627E" w:rsidRPr="00392F3D">
        <w:rPr>
          <w:b/>
          <w:bCs/>
          <w:lang w:val="pt-PT"/>
        </w:rPr>
        <w:t xml:space="preserve">dados </w:t>
      </w:r>
      <w:r w:rsidR="0007006E" w:rsidRPr="00392F3D">
        <w:rPr>
          <w:b/>
          <w:bCs/>
          <w:lang w:val="pt-PT"/>
        </w:rPr>
        <w:t>de ANC</w:t>
      </w:r>
      <w:r w:rsidRPr="00392F3D">
        <w:rPr>
          <w:lang w:val="pt-PT"/>
        </w:rPr>
        <w:t xml:space="preserve">. Um novo ecrã compara a cobertura de TARV </w:t>
      </w:r>
      <w:r w:rsidR="007B48EC" w:rsidRPr="00392F3D">
        <w:rPr>
          <w:lang w:val="pt-PT"/>
        </w:rPr>
        <w:t xml:space="preserve">para adultos </w:t>
      </w:r>
      <w:r w:rsidRPr="00392F3D">
        <w:rPr>
          <w:lang w:val="pt-PT"/>
        </w:rPr>
        <w:t xml:space="preserve">estimada </w:t>
      </w:r>
      <w:r w:rsidR="007B48EC" w:rsidRPr="00392F3D">
        <w:rPr>
          <w:lang w:val="pt-PT"/>
        </w:rPr>
        <w:t xml:space="preserve">pelo Spectrum </w:t>
      </w:r>
      <w:r w:rsidRPr="00392F3D">
        <w:rPr>
          <w:lang w:val="pt-PT"/>
        </w:rPr>
        <w:t xml:space="preserve">a partir de dados do programa com uma previsão baseada na proporção de mulheres grávidas seropositivas que já estavam a receber TARV </w:t>
      </w:r>
      <w:r w:rsidR="00ED1551" w:rsidRPr="00392F3D">
        <w:rPr>
          <w:lang w:val="pt-PT"/>
        </w:rPr>
        <w:t xml:space="preserve">antes da gravidez atual </w:t>
      </w:r>
      <w:r w:rsidR="007B48EC" w:rsidRPr="00392F3D">
        <w:rPr>
          <w:lang w:val="pt-PT"/>
        </w:rPr>
        <w:t>(introduzida em Estatísticas do programa &gt; PMTCT)</w:t>
      </w:r>
      <w:r w:rsidRPr="00392F3D">
        <w:rPr>
          <w:lang w:val="pt-PT"/>
        </w:rPr>
        <w:t xml:space="preserve">. </w:t>
      </w:r>
      <w:r w:rsidRPr="00392F3D">
        <w:rPr>
          <w:lang w:val="pt-PT"/>
        </w:rPr>
        <w:br/>
      </w:r>
      <w:r w:rsidR="00547B39" w:rsidRPr="00392F3D">
        <w:rPr>
          <w:lang w:val="pt-PT"/>
        </w:rPr>
        <w:t xml:space="preserve">Esta </w:t>
      </w:r>
      <w:r w:rsidR="00B127AA" w:rsidRPr="00392F3D">
        <w:rPr>
          <w:lang w:val="pt-PT"/>
        </w:rPr>
        <w:t xml:space="preserve">validação </w:t>
      </w:r>
      <w:r w:rsidR="00547B39" w:rsidRPr="00392F3D">
        <w:rPr>
          <w:lang w:val="pt-PT"/>
        </w:rPr>
        <w:t xml:space="preserve">é recomendada para </w:t>
      </w:r>
      <w:r w:rsidR="009E3988" w:rsidRPr="00392F3D">
        <w:rPr>
          <w:lang w:val="pt-PT"/>
        </w:rPr>
        <w:t xml:space="preserve">países da África Subsariana. </w:t>
      </w:r>
      <w:r w:rsidRPr="00392F3D">
        <w:rPr>
          <w:lang w:val="pt-PT"/>
        </w:rPr>
        <w:t>Se a previsão e a estimativa baseada no programa não forem próximas</w:t>
      </w:r>
      <w:r w:rsidR="007B48EC" w:rsidRPr="00392F3D">
        <w:rPr>
          <w:lang w:val="pt-PT"/>
        </w:rPr>
        <w:t xml:space="preserve">, </w:t>
      </w:r>
      <w:r w:rsidRPr="00392F3D">
        <w:rPr>
          <w:lang w:val="pt-PT"/>
        </w:rPr>
        <w:t xml:space="preserve">isso pode indicar </w:t>
      </w:r>
      <w:r w:rsidR="006448B0" w:rsidRPr="00392F3D">
        <w:rPr>
          <w:lang w:val="pt-PT"/>
        </w:rPr>
        <w:t xml:space="preserve">problemas com uma das fontes. </w:t>
      </w:r>
    </w:p>
    <w:sectPr w:rsidR="00CD5814" w:rsidRPr="00392F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E55D" w14:textId="77777777" w:rsidR="001540FF" w:rsidRDefault="001540FF" w:rsidP="00366C1E">
      <w:pPr>
        <w:spacing w:after="0" w:line="240" w:lineRule="auto"/>
      </w:pPr>
      <w:r>
        <w:separator/>
      </w:r>
    </w:p>
  </w:endnote>
  <w:endnote w:type="continuationSeparator" w:id="0">
    <w:p w14:paraId="47F0D7CB" w14:textId="77777777" w:rsidR="001540FF" w:rsidRDefault="001540FF" w:rsidP="00366C1E">
      <w:pPr>
        <w:spacing w:after="0" w:line="240" w:lineRule="auto"/>
      </w:pPr>
      <w:r>
        <w:continuationSeparator/>
      </w:r>
    </w:p>
  </w:endnote>
  <w:endnote w:type="continuationNotice" w:id="1">
    <w:p w14:paraId="178327F9" w14:textId="77777777" w:rsidR="001540FF" w:rsidRDefault="00154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901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BE986" w14:textId="77777777" w:rsidR="00CD5814" w:rsidRDefault="00943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A9E88" w14:textId="77777777" w:rsidR="00366C1E" w:rsidRDefault="0036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1C66" w14:textId="77777777" w:rsidR="001540FF" w:rsidRDefault="001540FF" w:rsidP="00366C1E">
      <w:pPr>
        <w:spacing w:after="0" w:line="240" w:lineRule="auto"/>
      </w:pPr>
      <w:r>
        <w:separator/>
      </w:r>
    </w:p>
  </w:footnote>
  <w:footnote w:type="continuationSeparator" w:id="0">
    <w:p w14:paraId="0F6D4A32" w14:textId="77777777" w:rsidR="001540FF" w:rsidRDefault="001540FF" w:rsidP="00366C1E">
      <w:pPr>
        <w:spacing w:after="0" w:line="240" w:lineRule="auto"/>
      </w:pPr>
      <w:r>
        <w:continuationSeparator/>
      </w:r>
    </w:p>
  </w:footnote>
  <w:footnote w:type="continuationNotice" w:id="1">
    <w:p w14:paraId="7565B2E6" w14:textId="77777777" w:rsidR="001540FF" w:rsidRDefault="001540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75"/>
    <w:multiLevelType w:val="hybridMultilevel"/>
    <w:tmpl w:val="28440E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D0444"/>
    <w:multiLevelType w:val="hybridMultilevel"/>
    <w:tmpl w:val="9B3CE272"/>
    <w:lvl w:ilvl="0" w:tplc="B49C5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140F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1D21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FE29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144A4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00E4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E681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556D0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367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3BAB5574"/>
    <w:multiLevelType w:val="hybridMultilevel"/>
    <w:tmpl w:val="C07851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C3BDB"/>
    <w:multiLevelType w:val="hybridMultilevel"/>
    <w:tmpl w:val="470C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74D6"/>
    <w:multiLevelType w:val="hybridMultilevel"/>
    <w:tmpl w:val="23C0FBCA"/>
    <w:lvl w:ilvl="0" w:tplc="03D088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622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B92A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A52C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AA63A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B660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A9C1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4031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3AC9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68710CFF"/>
    <w:multiLevelType w:val="hybridMultilevel"/>
    <w:tmpl w:val="A0A0CADC"/>
    <w:lvl w:ilvl="0" w:tplc="E6D416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C6FB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7323F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A9062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DED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1FADF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5B6A8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2A2F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CC9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6BF01A41"/>
    <w:multiLevelType w:val="hybridMultilevel"/>
    <w:tmpl w:val="85BE71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F5ADD"/>
    <w:multiLevelType w:val="hybridMultilevel"/>
    <w:tmpl w:val="1E26E97A"/>
    <w:lvl w:ilvl="0" w:tplc="78B05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6801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580E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6B002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5008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22A1A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976A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ED06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260C2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55263542">
    <w:abstractNumId w:val="3"/>
  </w:num>
  <w:num w:numId="2" w16cid:durableId="1561358925">
    <w:abstractNumId w:val="0"/>
  </w:num>
  <w:num w:numId="3" w16cid:durableId="1632976660">
    <w:abstractNumId w:val="1"/>
  </w:num>
  <w:num w:numId="4" w16cid:durableId="1162503646">
    <w:abstractNumId w:val="5"/>
  </w:num>
  <w:num w:numId="5" w16cid:durableId="2066946782">
    <w:abstractNumId w:val="2"/>
  </w:num>
  <w:num w:numId="6" w16cid:durableId="1753889320">
    <w:abstractNumId w:val="6"/>
  </w:num>
  <w:num w:numId="7" w16cid:durableId="409155191">
    <w:abstractNumId w:val="7"/>
  </w:num>
  <w:num w:numId="8" w16cid:durableId="1036925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14"/>
    <w:rsid w:val="00007376"/>
    <w:rsid w:val="000109C7"/>
    <w:rsid w:val="00030DB0"/>
    <w:rsid w:val="000311A2"/>
    <w:rsid w:val="00037BC9"/>
    <w:rsid w:val="0004444C"/>
    <w:rsid w:val="00045E98"/>
    <w:rsid w:val="00047B2D"/>
    <w:rsid w:val="000642F0"/>
    <w:rsid w:val="000647BA"/>
    <w:rsid w:val="0007006E"/>
    <w:rsid w:val="000A6A56"/>
    <w:rsid w:val="000D746E"/>
    <w:rsid w:val="000E45D3"/>
    <w:rsid w:val="001007D1"/>
    <w:rsid w:val="001077A7"/>
    <w:rsid w:val="00116B8F"/>
    <w:rsid w:val="001206A6"/>
    <w:rsid w:val="001378B6"/>
    <w:rsid w:val="001540FF"/>
    <w:rsid w:val="00157FE3"/>
    <w:rsid w:val="00160E05"/>
    <w:rsid w:val="00192661"/>
    <w:rsid w:val="00196F4E"/>
    <w:rsid w:val="00197A1B"/>
    <w:rsid w:val="001B22AB"/>
    <w:rsid w:val="001B39A2"/>
    <w:rsid w:val="001C3234"/>
    <w:rsid w:val="001D2419"/>
    <w:rsid w:val="001D78C6"/>
    <w:rsid w:val="001F29D0"/>
    <w:rsid w:val="001F4ACB"/>
    <w:rsid w:val="001F7A8E"/>
    <w:rsid w:val="002205E6"/>
    <w:rsid w:val="002220CB"/>
    <w:rsid w:val="00223456"/>
    <w:rsid w:val="002311B6"/>
    <w:rsid w:val="00232F10"/>
    <w:rsid w:val="00234688"/>
    <w:rsid w:val="00241F45"/>
    <w:rsid w:val="0024610D"/>
    <w:rsid w:val="002556E8"/>
    <w:rsid w:val="00267084"/>
    <w:rsid w:val="00271CBE"/>
    <w:rsid w:val="00283553"/>
    <w:rsid w:val="00285A31"/>
    <w:rsid w:val="00295CC0"/>
    <w:rsid w:val="002A2755"/>
    <w:rsid w:val="002A59FA"/>
    <w:rsid w:val="002C2556"/>
    <w:rsid w:val="002D0BBC"/>
    <w:rsid w:val="002D2998"/>
    <w:rsid w:val="002D6D92"/>
    <w:rsid w:val="002E66F3"/>
    <w:rsid w:val="002F2901"/>
    <w:rsid w:val="003063C9"/>
    <w:rsid w:val="00324AC7"/>
    <w:rsid w:val="00325D73"/>
    <w:rsid w:val="00361A89"/>
    <w:rsid w:val="00366C1E"/>
    <w:rsid w:val="00372318"/>
    <w:rsid w:val="00373608"/>
    <w:rsid w:val="00384608"/>
    <w:rsid w:val="00392F3D"/>
    <w:rsid w:val="003B6F60"/>
    <w:rsid w:val="003C432C"/>
    <w:rsid w:val="00415273"/>
    <w:rsid w:val="00415683"/>
    <w:rsid w:val="00415E67"/>
    <w:rsid w:val="00427BDA"/>
    <w:rsid w:val="00451256"/>
    <w:rsid w:val="00456F64"/>
    <w:rsid w:val="00462343"/>
    <w:rsid w:val="00463ED7"/>
    <w:rsid w:val="0046747A"/>
    <w:rsid w:val="00476243"/>
    <w:rsid w:val="00483E0F"/>
    <w:rsid w:val="004943F9"/>
    <w:rsid w:val="004B146A"/>
    <w:rsid w:val="004B1CE2"/>
    <w:rsid w:val="004B3105"/>
    <w:rsid w:val="004E364F"/>
    <w:rsid w:val="00521F25"/>
    <w:rsid w:val="005270A8"/>
    <w:rsid w:val="0053158B"/>
    <w:rsid w:val="00545ADD"/>
    <w:rsid w:val="00547B39"/>
    <w:rsid w:val="00554849"/>
    <w:rsid w:val="0055565F"/>
    <w:rsid w:val="00562166"/>
    <w:rsid w:val="00567148"/>
    <w:rsid w:val="00584C9C"/>
    <w:rsid w:val="00585BD1"/>
    <w:rsid w:val="005B4C19"/>
    <w:rsid w:val="005B74C5"/>
    <w:rsid w:val="005D4AC7"/>
    <w:rsid w:val="005D5A7B"/>
    <w:rsid w:val="005D6BB3"/>
    <w:rsid w:val="005E1F08"/>
    <w:rsid w:val="005E4490"/>
    <w:rsid w:val="005F107F"/>
    <w:rsid w:val="005F2C2A"/>
    <w:rsid w:val="005F36BD"/>
    <w:rsid w:val="0061209B"/>
    <w:rsid w:val="006154C7"/>
    <w:rsid w:val="0061587A"/>
    <w:rsid w:val="006240D0"/>
    <w:rsid w:val="00627331"/>
    <w:rsid w:val="006359BB"/>
    <w:rsid w:val="00641A1B"/>
    <w:rsid w:val="006448B0"/>
    <w:rsid w:val="00647D8E"/>
    <w:rsid w:val="00656E11"/>
    <w:rsid w:val="006834A2"/>
    <w:rsid w:val="006900AA"/>
    <w:rsid w:val="006A6408"/>
    <w:rsid w:val="006B1066"/>
    <w:rsid w:val="006B1607"/>
    <w:rsid w:val="006B6194"/>
    <w:rsid w:val="006D2BB3"/>
    <w:rsid w:val="006D4632"/>
    <w:rsid w:val="006E2092"/>
    <w:rsid w:val="006F44A4"/>
    <w:rsid w:val="006F48FC"/>
    <w:rsid w:val="006F5967"/>
    <w:rsid w:val="00716A8B"/>
    <w:rsid w:val="00716FE4"/>
    <w:rsid w:val="007368D2"/>
    <w:rsid w:val="00740BA0"/>
    <w:rsid w:val="007638BE"/>
    <w:rsid w:val="0076758C"/>
    <w:rsid w:val="007715AC"/>
    <w:rsid w:val="00775BD6"/>
    <w:rsid w:val="00780214"/>
    <w:rsid w:val="00792234"/>
    <w:rsid w:val="007A2536"/>
    <w:rsid w:val="007B48EC"/>
    <w:rsid w:val="007B6884"/>
    <w:rsid w:val="007C6730"/>
    <w:rsid w:val="007E79E7"/>
    <w:rsid w:val="007F1806"/>
    <w:rsid w:val="007F297B"/>
    <w:rsid w:val="008057E2"/>
    <w:rsid w:val="00835E3A"/>
    <w:rsid w:val="00841099"/>
    <w:rsid w:val="00842611"/>
    <w:rsid w:val="00850481"/>
    <w:rsid w:val="00856335"/>
    <w:rsid w:val="00857402"/>
    <w:rsid w:val="00865EB3"/>
    <w:rsid w:val="00883BF1"/>
    <w:rsid w:val="00892ED6"/>
    <w:rsid w:val="00895809"/>
    <w:rsid w:val="008A6CBF"/>
    <w:rsid w:val="008B1E67"/>
    <w:rsid w:val="008B476F"/>
    <w:rsid w:val="008B7CFB"/>
    <w:rsid w:val="008E0018"/>
    <w:rsid w:val="008E4248"/>
    <w:rsid w:val="008F238C"/>
    <w:rsid w:val="00900040"/>
    <w:rsid w:val="00911BE5"/>
    <w:rsid w:val="00934765"/>
    <w:rsid w:val="009354F7"/>
    <w:rsid w:val="00943593"/>
    <w:rsid w:val="00950DF5"/>
    <w:rsid w:val="0095181A"/>
    <w:rsid w:val="0096342D"/>
    <w:rsid w:val="009670FB"/>
    <w:rsid w:val="009713D5"/>
    <w:rsid w:val="009815C7"/>
    <w:rsid w:val="00984663"/>
    <w:rsid w:val="009B601D"/>
    <w:rsid w:val="009C466B"/>
    <w:rsid w:val="009D439C"/>
    <w:rsid w:val="009D76E9"/>
    <w:rsid w:val="009E19B4"/>
    <w:rsid w:val="009E3988"/>
    <w:rsid w:val="00A06CF6"/>
    <w:rsid w:val="00A119A8"/>
    <w:rsid w:val="00A22765"/>
    <w:rsid w:val="00A24F46"/>
    <w:rsid w:val="00A27B33"/>
    <w:rsid w:val="00A27FEA"/>
    <w:rsid w:val="00A34ECC"/>
    <w:rsid w:val="00A36099"/>
    <w:rsid w:val="00A752C0"/>
    <w:rsid w:val="00AB3293"/>
    <w:rsid w:val="00AB68EC"/>
    <w:rsid w:val="00AC192F"/>
    <w:rsid w:val="00AD3210"/>
    <w:rsid w:val="00AD4232"/>
    <w:rsid w:val="00AF03C0"/>
    <w:rsid w:val="00B07BDE"/>
    <w:rsid w:val="00B1239B"/>
    <w:rsid w:val="00B127AA"/>
    <w:rsid w:val="00B217AB"/>
    <w:rsid w:val="00B229E3"/>
    <w:rsid w:val="00B22AEB"/>
    <w:rsid w:val="00B268D1"/>
    <w:rsid w:val="00B34E74"/>
    <w:rsid w:val="00B3677B"/>
    <w:rsid w:val="00B43826"/>
    <w:rsid w:val="00B537EE"/>
    <w:rsid w:val="00B640E9"/>
    <w:rsid w:val="00B65688"/>
    <w:rsid w:val="00B72DFA"/>
    <w:rsid w:val="00B73AC5"/>
    <w:rsid w:val="00B84410"/>
    <w:rsid w:val="00B86551"/>
    <w:rsid w:val="00BA6B26"/>
    <w:rsid w:val="00BB443F"/>
    <w:rsid w:val="00BB4780"/>
    <w:rsid w:val="00BC5334"/>
    <w:rsid w:val="00BD11A1"/>
    <w:rsid w:val="00BD1E75"/>
    <w:rsid w:val="00BD4E42"/>
    <w:rsid w:val="00BF1EB1"/>
    <w:rsid w:val="00BF4F61"/>
    <w:rsid w:val="00BF75EE"/>
    <w:rsid w:val="00C11C7E"/>
    <w:rsid w:val="00C13C95"/>
    <w:rsid w:val="00C3385E"/>
    <w:rsid w:val="00C33DD9"/>
    <w:rsid w:val="00C345BF"/>
    <w:rsid w:val="00C363FA"/>
    <w:rsid w:val="00C507CD"/>
    <w:rsid w:val="00C51C2A"/>
    <w:rsid w:val="00C5358D"/>
    <w:rsid w:val="00C54708"/>
    <w:rsid w:val="00C62725"/>
    <w:rsid w:val="00C64896"/>
    <w:rsid w:val="00C935BB"/>
    <w:rsid w:val="00C9478D"/>
    <w:rsid w:val="00C9627E"/>
    <w:rsid w:val="00CC0A6E"/>
    <w:rsid w:val="00CC63A7"/>
    <w:rsid w:val="00CD0425"/>
    <w:rsid w:val="00CD225E"/>
    <w:rsid w:val="00CD5814"/>
    <w:rsid w:val="00CD66C1"/>
    <w:rsid w:val="00CE1F5F"/>
    <w:rsid w:val="00CE31DC"/>
    <w:rsid w:val="00CF22B7"/>
    <w:rsid w:val="00CF374E"/>
    <w:rsid w:val="00CF450D"/>
    <w:rsid w:val="00D0047C"/>
    <w:rsid w:val="00D10E20"/>
    <w:rsid w:val="00D111F0"/>
    <w:rsid w:val="00D113E3"/>
    <w:rsid w:val="00D35524"/>
    <w:rsid w:val="00D40322"/>
    <w:rsid w:val="00D42948"/>
    <w:rsid w:val="00D44A9E"/>
    <w:rsid w:val="00D45B17"/>
    <w:rsid w:val="00D45ECF"/>
    <w:rsid w:val="00D5583D"/>
    <w:rsid w:val="00D579E1"/>
    <w:rsid w:val="00D65A71"/>
    <w:rsid w:val="00D7133D"/>
    <w:rsid w:val="00D72854"/>
    <w:rsid w:val="00D8661C"/>
    <w:rsid w:val="00DB3B5B"/>
    <w:rsid w:val="00DD440C"/>
    <w:rsid w:val="00DE0B44"/>
    <w:rsid w:val="00DE1E04"/>
    <w:rsid w:val="00DE1EDD"/>
    <w:rsid w:val="00DF322F"/>
    <w:rsid w:val="00E270E4"/>
    <w:rsid w:val="00E314BF"/>
    <w:rsid w:val="00E3605F"/>
    <w:rsid w:val="00E36EA8"/>
    <w:rsid w:val="00E37C83"/>
    <w:rsid w:val="00E51775"/>
    <w:rsid w:val="00E60D0B"/>
    <w:rsid w:val="00E62614"/>
    <w:rsid w:val="00E66467"/>
    <w:rsid w:val="00E954FE"/>
    <w:rsid w:val="00E971B4"/>
    <w:rsid w:val="00EB0AFA"/>
    <w:rsid w:val="00EB0FD7"/>
    <w:rsid w:val="00ED1551"/>
    <w:rsid w:val="00ED6EFE"/>
    <w:rsid w:val="00ED7DBA"/>
    <w:rsid w:val="00EE6512"/>
    <w:rsid w:val="00F10D79"/>
    <w:rsid w:val="00F25550"/>
    <w:rsid w:val="00F43969"/>
    <w:rsid w:val="00F55215"/>
    <w:rsid w:val="00F67433"/>
    <w:rsid w:val="00F70453"/>
    <w:rsid w:val="00F719AC"/>
    <w:rsid w:val="00F87224"/>
    <w:rsid w:val="00F94A06"/>
    <w:rsid w:val="00F94DB2"/>
    <w:rsid w:val="00F94E0D"/>
    <w:rsid w:val="00F954E0"/>
    <w:rsid w:val="00FA634A"/>
    <w:rsid w:val="00FB255C"/>
    <w:rsid w:val="00FB5285"/>
    <w:rsid w:val="00FC22EF"/>
    <w:rsid w:val="00FD482E"/>
    <w:rsid w:val="00FE3654"/>
    <w:rsid w:val="00FF13F4"/>
    <w:rsid w:val="00FF4E81"/>
    <w:rsid w:val="0259D225"/>
    <w:rsid w:val="040F316D"/>
    <w:rsid w:val="04682A23"/>
    <w:rsid w:val="0729A1AF"/>
    <w:rsid w:val="08EFA536"/>
    <w:rsid w:val="0AD7D67D"/>
    <w:rsid w:val="0C0D4F91"/>
    <w:rsid w:val="0D03BBDA"/>
    <w:rsid w:val="0D0A2316"/>
    <w:rsid w:val="0DB7DA59"/>
    <w:rsid w:val="0E3DBE7E"/>
    <w:rsid w:val="0EE846C0"/>
    <w:rsid w:val="0F1D6EF8"/>
    <w:rsid w:val="1010C5C0"/>
    <w:rsid w:val="10351085"/>
    <w:rsid w:val="103B29CB"/>
    <w:rsid w:val="109A1595"/>
    <w:rsid w:val="12EE6919"/>
    <w:rsid w:val="143AF054"/>
    <w:rsid w:val="16614A2E"/>
    <w:rsid w:val="16BA72A0"/>
    <w:rsid w:val="16CC6A3C"/>
    <w:rsid w:val="16D5AF3B"/>
    <w:rsid w:val="18D3822D"/>
    <w:rsid w:val="19281DDC"/>
    <w:rsid w:val="19E59322"/>
    <w:rsid w:val="1CF88E8C"/>
    <w:rsid w:val="1E15FDF3"/>
    <w:rsid w:val="1E2A25EB"/>
    <w:rsid w:val="1FD0D971"/>
    <w:rsid w:val="22ACF2FB"/>
    <w:rsid w:val="24C55949"/>
    <w:rsid w:val="24DF314C"/>
    <w:rsid w:val="24EAA7D9"/>
    <w:rsid w:val="2515B78A"/>
    <w:rsid w:val="26C3C002"/>
    <w:rsid w:val="2B206F5C"/>
    <w:rsid w:val="2B3CC66E"/>
    <w:rsid w:val="2B415E33"/>
    <w:rsid w:val="2B4291E2"/>
    <w:rsid w:val="30E700A0"/>
    <w:rsid w:val="322F5FEC"/>
    <w:rsid w:val="326CA6BC"/>
    <w:rsid w:val="354A1F71"/>
    <w:rsid w:val="36115596"/>
    <w:rsid w:val="3753CAD2"/>
    <w:rsid w:val="3A6C4533"/>
    <w:rsid w:val="3B92D6B9"/>
    <w:rsid w:val="3E2B5E74"/>
    <w:rsid w:val="3FC44CE4"/>
    <w:rsid w:val="41601D45"/>
    <w:rsid w:val="42018303"/>
    <w:rsid w:val="4402DF57"/>
    <w:rsid w:val="4424E4E1"/>
    <w:rsid w:val="45679F31"/>
    <w:rsid w:val="459BCC25"/>
    <w:rsid w:val="46BF0EF2"/>
    <w:rsid w:val="46F5DF56"/>
    <w:rsid w:val="470F91E2"/>
    <w:rsid w:val="4746E236"/>
    <w:rsid w:val="496A9C3B"/>
    <w:rsid w:val="4B1E239F"/>
    <w:rsid w:val="4C793F21"/>
    <w:rsid w:val="4CDD5E0B"/>
    <w:rsid w:val="4E792E6C"/>
    <w:rsid w:val="519B579F"/>
    <w:rsid w:val="52A5F537"/>
    <w:rsid w:val="540D5BE5"/>
    <w:rsid w:val="54CF4793"/>
    <w:rsid w:val="55F7ACD8"/>
    <w:rsid w:val="57BDAF15"/>
    <w:rsid w:val="57D14D1C"/>
    <w:rsid w:val="5913F274"/>
    <w:rsid w:val="59321497"/>
    <w:rsid w:val="5B025E02"/>
    <w:rsid w:val="5B628833"/>
    <w:rsid w:val="5BF4F205"/>
    <w:rsid w:val="5C591032"/>
    <w:rsid w:val="5C5FD026"/>
    <w:rsid w:val="5DCBA082"/>
    <w:rsid w:val="5EA2FC36"/>
    <w:rsid w:val="5EF42D44"/>
    <w:rsid w:val="60328F84"/>
    <w:rsid w:val="622B4A90"/>
    <w:rsid w:val="62427851"/>
    <w:rsid w:val="6324B39A"/>
    <w:rsid w:val="6329505D"/>
    <w:rsid w:val="6341E181"/>
    <w:rsid w:val="652FF9BD"/>
    <w:rsid w:val="653F2C16"/>
    <w:rsid w:val="688E253D"/>
    <w:rsid w:val="6B5C9A67"/>
    <w:rsid w:val="6C030A9E"/>
    <w:rsid w:val="6E641FA8"/>
    <w:rsid w:val="7116C2C3"/>
    <w:rsid w:val="71C918AE"/>
    <w:rsid w:val="72CE02C2"/>
    <w:rsid w:val="7323CFE1"/>
    <w:rsid w:val="782FAF12"/>
    <w:rsid w:val="7A895041"/>
    <w:rsid w:val="7C10159A"/>
    <w:rsid w:val="7C6799AC"/>
    <w:rsid w:val="7CA3D77D"/>
    <w:rsid w:val="7E720322"/>
    <w:rsid w:val="7F5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566A"/>
  <w15:chartTrackingRefBased/>
  <w15:docId w15:val="{E2E546CE-68E6-4B7D-B769-72F65AB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73"/>
  </w:style>
  <w:style w:type="paragraph" w:styleId="Heading1">
    <w:name w:val="heading 1"/>
    <w:basedOn w:val="Normal"/>
    <w:next w:val="Normal"/>
    <w:link w:val="Heading1Char"/>
    <w:uiPriority w:val="9"/>
    <w:qFormat/>
    <w:rsid w:val="00780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02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0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02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0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B7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F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4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1E"/>
  </w:style>
  <w:style w:type="paragraph" w:styleId="Footer">
    <w:name w:val="footer"/>
    <w:basedOn w:val="Normal"/>
    <w:link w:val="FooterChar"/>
    <w:uiPriority w:val="99"/>
    <w:unhideWhenUsed/>
    <w:rsid w:val="0036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1E"/>
  </w:style>
  <w:style w:type="character" w:styleId="Hyperlink">
    <w:name w:val="Hyperlink"/>
    <w:basedOn w:val="DefaultParagraphFont"/>
    <w:uiPriority w:val="99"/>
    <w:unhideWhenUsed/>
    <w:rsid w:val="00950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F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6272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62725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8ef829-98c5-46d1-83dc-c2ef7c814da2" xsi:nil="true"/>
    <TaxCatchAll xmlns="2ddeef39-65d3-4660-94f2-f063f949c57e" xsi:nil="true"/>
    <lcf76f155ced4ddcb4097134ff3c332f xmlns="288ef829-98c5-46d1-83dc-c2ef7c814da2">
      <Terms xmlns="http://schemas.microsoft.com/office/infopath/2007/PartnerControls"/>
    </lcf76f155ced4ddcb4097134ff3c332f>
    <SharedWithUsers xmlns="2ddeef39-65d3-4660-94f2-f063f949c57e">
      <UserInfo>
        <DisplayName>John Stover</DisplayName>
        <AccountId>2253</AccountId>
        <AccountType/>
      </UserInfo>
      <UserInfo>
        <DisplayName>WANYEKI, Ian</DisplayName>
        <AccountId>197</AccountId>
        <AccountType/>
      </UserInfo>
      <UserInfo>
        <DisplayName>MAHY, Mary</DisplayName>
        <AccountId>20</AccountId>
        <AccountType/>
      </UserInfo>
      <UserInfo>
        <DisplayName>Robert Glaubius</DisplayName>
        <AccountId>5514</AccountId>
        <AccountType/>
      </UserInfo>
      <UserInfo>
        <DisplayName>SABIN, Keith</DisplayName>
        <AccountId>25</AccountId>
        <AccountType/>
      </UserInfo>
      <UserInfo>
        <DisplayName>KORENROMP, Eline Louise</DisplayName>
        <AccountId>7579</AccountId>
        <AccountType/>
      </UserInfo>
      <UserInfo>
        <DisplayName>DAHER, Juliana</DisplayName>
        <AccountId>63</AccountId>
        <AccountType/>
      </UserInfo>
      <UserInfo>
        <DisplayName>Tim Brown</DisplayName>
        <AccountId>394</AccountId>
        <AccountType/>
      </UserInfo>
      <UserInfo>
        <DisplayName>EBY, Ehounoud Pascal</DisplayName>
        <AccountId>44</AccountId>
        <AccountType/>
      </UserInfo>
      <UserInfo>
        <DisplayName>FRESCURA, Luisa</DisplayName>
        <AccountId>27</AccountId>
        <AccountType/>
      </UserInfo>
      <UserInfo>
        <DisplayName>RWODZI, Desire Tarwireyi</DisplayName>
        <AccountId>4456</AccountId>
        <AccountType/>
      </UserInfo>
      <UserInfo>
        <DisplayName>YAKUSIK, Anna</DisplayName>
        <AccountId>38</AccountId>
        <AccountType/>
      </UserInfo>
      <UserInfo>
        <DisplayName>BRACAMONTE BARDALEZ, Patricia</DisplayName>
        <AccountId>1140</AccountId>
        <AccountType/>
      </UserInfo>
      <UserInfo>
        <DisplayName>GUICHARD, Anne-Claire</DisplayName>
        <AccountId>7676</AccountId>
        <AccountType/>
      </UserInfo>
      <UserInfo>
        <DisplayName>MORO, Liana</DisplayName>
        <AccountId>4650</AccountId>
        <AccountType/>
      </UserInfo>
      <UserInfo>
        <DisplayName>YANG, Titi</DisplayName>
        <AccountId>10923</AccountId>
        <AccountType/>
      </UserInfo>
      <UserInfo>
        <DisplayName>DANIEL, Isabel</DisplayName>
        <AccountId>11269</AccountId>
        <AccountType/>
      </UserInfo>
      <UserInfo>
        <DisplayName>EL RHILANI, Houssine</DisplayName>
        <AccountId>828</AccountId>
        <AccountType/>
      </UserInfo>
      <UserInfo>
        <DisplayName>EL HAJJI, Hind</DisplayName>
        <AccountId>11072</AccountId>
        <AccountType/>
      </UserInfo>
      <UserInfo>
        <DisplayName>FEIZZADEH, Ali</DisplayName>
        <AccountId>248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E641F549574BB805BD9C73365D4F" ma:contentTypeVersion="19" ma:contentTypeDescription="Create a new document." ma:contentTypeScope="" ma:versionID="fd2d0a4ae318738fa5f1ff72e65b2934">
  <xsd:schema xmlns:xsd="http://www.w3.org/2001/XMLSchema" xmlns:xs="http://www.w3.org/2001/XMLSchema" xmlns:p="http://schemas.microsoft.com/office/2006/metadata/properties" xmlns:ns2="288ef829-98c5-46d1-83dc-c2ef7c814da2" xmlns:ns3="2ddeef39-65d3-4660-94f2-f063f949c57e" targetNamespace="http://schemas.microsoft.com/office/2006/metadata/properties" ma:root="true" ma:fieldsID="37c2625be6a258cebd7413079fa12bc5" ns2:_="" ns3:_="">
    <xsd:import namespace="288ef829-98c5-46d1-83dc-c2ef7c814da2"/>
    <xsd:import namespace="2ddeef39-65d3-4660-94f2-f063f949c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f829-98c5-46d1-83dc-c2ef7c81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08808e-a4ff-498b-8b44-8869f1dc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ef39-65d3-4660-94f2-f063f949c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142ec6-8224-48c2-babf-013e8b339833}" ma:internalName="TaxCatchAll" ma:showField="CatchAllData" ma:web="2ddeef39-65d3-4660-94f2-f063f949c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B7500-C040-4731-89F1-8D4617D4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DA264-9CD3-4A62-8F85-E9F136C3D149}">
  <ds:schemaRefs>
    <ds:schemaRef ds:uri="http://schemas.microsoft.com/office/2006/metadata/properties"/>
    <ds:schemaRef ds:uri="http://schemas.microsoft.com/office/infopath/2007/PartnerControls"/>
    <ds:schemaRef ds:uri="288ef829-98c5-46d1-83dc-c2ef7c814da2"/>
    <ds:schemaRef ds:uri="2ddeef39-65d3-4660-94f2-f063f949c57e"/>
  </ds:schemaRefs>
</ds:datastoreItem>
</file>

<file path=customXml/itemProps3.xml><?xml version="1.0" encoding="utf-8"?>
<ds:datastoreItem xmlns:ds="http://schemas.openxmlformats.org/officeDocument/2006/customXml" ds:itemID="{CC4275AD-E43B-4F29-A573-EB536E60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f829-98c5-46d1-83dc-c2ef7c814da2"/>
    <ds:schemaRef ds:uri="2ddeef39-65d3-4660-94f2-f063f949c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2e1cf9b-e1b6-44eb-8021-428c292d3eb5}" enabled="0" method="" siteId="{c2e1cf9b-e1b6-44eb-8021-428c292d3e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Stover</dc:creator>
  <cp:keywords>, docId:1E77EB948A64AF738A2567604172AFF4</cp:keywords>
  <dc:description/>
  <cp:lastModifiedBy>KORENROMP, Eline Louise</cp:lastModifiedBy>
  <cp:revision>6</cp:revision>
  <dcterms:created xsi:type="dcterms:W3CDTF">2024-01-24T18:31:00Z</dcterms:created>
  <dcterms:modified xsi:type="dcterms:W3CDTF">2024-01-26T13:15:00Z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0x0101006893E641F549574BB805BD9C73365D4F</vt:lpwstr>
  </property>
  <property fmtid="{D5CDD505-2E9C-101B-9397-08002B2CF9AE}" pid="3" name="MediaServiceImageTags">
    <vt:lpwstr/>
  </property>
</Properties>
</file>