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5765" w14:textId="7C87DC3E" w:rsidR="003C035E" w:rsidRPr="00CC5A20" w:rsidRDefault="008600DD">
      <w:pPr>
        <w:pStyle w:val="Heading1"/>
        <w:rPr>
          <w:lang w:val="es-ES"/>
        </w:rPr>
      </w:pPr>
      <w:r w:rsidRPr="00CC5A20">
        <w:rPr>
          <w:lang w:val="es-ES"/>
        </w:rPr>
        <w:t xml:space="preserve">Actualizaciones del software Spectrum/AIM </w:t>
      </w:r>
      <w:r w:rsidR="00AE7CC6">
        <w:rPr>
          <w:lang w:val="es-ES"/>
        </w:rPr>
        <w:br/>
      </w:r>
      <w:r w:rsidRPr="00CC5A20">
        <w:rPr>
          <w:lang w:val="es-ES"/>
        </w:rPr>
        <w:t xml:space="preserve">para la ronda de estimaciones de </w:t>
      </w:r>
      <w:r w:rsidR="006B1066" w:rsidRPr="00CC5A20">
        <w:rPr>
          <w:lang w:val="es-ES"/>
        </w:rPr>
        <w:t>2024</w:t>
      </w:r>
    </w:p>
    <w:p w14:paraId="7C12C0D0" w14:textId="0EFBE684" w:rsidR="003C035E" w:rsidRPr="003743CA" w:rsidRDefault="008600DD">
      <w:pPr>
        <w:rPr>
          <w:lang w:val="es-ES"/>
        </w:rPr>
      </w:pPr>
      <w:r w:rsidRPr="003743CA">
        <w:rPr>
          <w:lang w:val="es-ES"/>
        </w:rPr>
        <w:t xml:space="preserve">Versión </w:t>
      </w:r>
      <w:r w:rsidR="003743CA" w:rsidRPr="003743CA">
        <w:rPr>
          <w:lang w:val="es-ES"/>
        </w:rPr>
        <w:t>2</w:t>
      </w:r>
      <w:r w:rsidR="00D0217B">
        <w:rPr>
          <w:lang w:val="es-ES"/>
        </w:rPr>
        <w:t>2</w:t>
      </w:r>
      <w:r w:rsidR="003743CA" w:rsidRPr="003743CA">
        <w:rPr>
          <w:lang w:val="es-ES"/>
        </w:rPr>
        <w:t xml:space="preserve"> de enero</w:t>
      </w:r>
      <w:r w:rsidR="00BD4E42" w:rsidRPr="003743CA">
        <w:rPr>
          <w:lang w:val="es-ES"/>
        </w:rPr>
        <w:t xml:space="preserve"> </w:t>
      </w:r>
      <w:r w:rsidRPr="003743CA">
        <w:rPr>
          <w:lang w:val="es-ES"/>
        </w:rPr>
        <w:t>202</w:t>
      </w:r>
      <w:r w:rsidR="003743CA" w:rsidRPr="003743CA">
        <w:rPr>
          <w:lang w:val="es-ES"/>
        </w:rPr>
        <w:t>4</w:t>
      </w:r>
    </w:p>
    <w:p w14:paraId="767BE6F7" w14:textId="77777777" w:rsidR="003C035E" w:rsidRPr="003743CA" w:rsidRDefault="008600DD">
      <w:pPr>
        <w:pStyle w:val="Heading2"/>
        <w:rPr>
          <w:lang w:val="es-ES"/>
        </w:rPr>
      </w:pPr>
      <w:r w:rsidRPr="003743CA">
        <w:rPr>
          <w:lang w:val="es-ES"/>
        </w:rPr>
        <w:t>Introducción de datos</w:t>
      </w:r>
    </w:p>
    <w:p w14:paraId="0A58983B" w14:textId="4C6840A7" w:rsidR="003C035E" w:rsidRPr="00CC5A20" w:rsidRDefault="00494AB9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b/>
          <w:bCs/>
          <w:lang w:val="es-ES"/>
        </w:rPr>
        <w:t>Abandono</w:t>
      </w:r>
      <w:r w:rsidR="008600DD" w:rsidRPr="00CC5A20">
        <w:rPr>
          <w:b/>
          <w:bCs/>
          <w:lang w:val="es-ES"/>
        </w:rPr>
        <w:t xml:space="preserve"> del tratamiento</w:t>
      </w:r>
      <w:r w:rsidR="008600DD" w:rsidRPr="00CC5A20">
        <w:rPr>
          <w:lang w:val="es-ES"/>
        </w:rPr>
        <w:t xml:space="preserve">. Ahora se recomienda a los usuarios que introduzcan </w:t>
      </w:r>
      <w:r w:rsidR="60328F84" w:rsidRPr="00CC5A20">
        <w:rPr>
          <w:lang w:val="es-ES"/>
        </w:rPr>
        <w:t xml:space="preserve">las tasas de </w:t>
      </w:r>
      <w:r>
        <w:rPr>
          <w:lang w:val="es-ES"/>
        </w:rPr>
        <w:t>abandono</w:t>
      </w:r>
      <w:r w:rsidRPr="00CC5A20">
        <w:rPr>
          <w:lang w:val="es-ES"/>
        </w:rPr>
        <w:t xml:space="preserve"> </w:t>
      </w:r>
      <w:r w:rsidR="60328F84" w:rsidRPr="00CC5A20">
        <w:rPr>
          <w:lang w:val="es-ES"/>
        </w:rPr>
        <w:t xml:space="preserve">del tratamiento </w:t>
      </w:r>
      <w:r w:rsidR="008600DD" w:rsidRPr="00CC5A20">
        <w:rPr>
          <w:lang w:val="es-ES"/>
        </w:rPr>
        <w:t xml:space="preserve">para todos los años con TAR. </w:t>
      </w:r>
      <w:r>
        <w:rPr>
          <w:lang w:val="es-ES"/>
        </w:rPr>
        <w:t>El</w:t>
      </w:r>
      <w:r w:rsidR="008600DD" w:rsidRPr="00CC5A20">
        <w:rPr>
          <w:lang w:val="es-ES"/>
        </w:rPr>
        <w:t xml:space="preserve"> "</w:t>
      </w:r>
      <w:r>
        <w:rPr>
          <w:lang w:val="es-ES"/>
        </w:rPr>
        <w:t>abandono</w:t>
      </w:r>
      <w:r w:rsidR="008600DD" w:rsidRPr="00CC5A20">
        <w:rPr>
          <w:lang w:val="es-ES"/>
        </w:rPr>
        <w:t xml:space="preserve"> del tratamiento" sustituye a lo que </w:t>
      </w:r>
      <w:r w:rsidR="57D14D1C" w:rsidRPr="00CC5A20">
        <w:rPr>
          <w:lang w:val="es-ES"/>
        </w:rPr>
        <w:t xml:space="preserve">antes se denominaba </w:t>
      </w:r>
      <w:r w:rsidR="008600DD" w:rsidRPr="00CC5A20">
        <w:rPr>
          <w:lang w:val="es-ES"/>
        </w:rPr>
        <w:t xml:space="preserve">"Pérdida durante el seguimiento". Las tasas deben calcularse a partir de los datos del programa nacional, si son fiables. </w:t>
      </w:r>
      <w:r w:rsidR="00B07BDE" w:rsidRPr="00CC5A20">
        <w:rPr>
          <w:lang w:val="es-ES"/>
        </w:rPr>
        <w:br/>
      </w:r>
      <w:r w:rsidR="008600DD" w:rsidRPr="00CC5A20">
        <w:rPr>
          <w:lang w:val="es-ES"/>
        </w:rPr>
        <w:t xml:space="preserve">Para los años sin datos, se recomienda adoptar tasas por defecto, para lo cual los editores "Tratamiento infantil" y "TAR adultos" tienen ahora botones con la etiqueta "Aplicar tasa de interrupción por defecto". Al hacer clic en este botón se insertará </w:t>
      </w:r>
      <w:r w:rsidR="002C66ED" w:rsidRPr="00CC5A20">
        <w:rPr>
          <w:lang w:val="es-ES"/>
        </w:rPr>
        <w:t xml:space="preserve">por defecto </w:t>
      </w:r>
      <w:r w:rsidR="008600DD" w:rsidRPr="00CC5A20">
        <w:rPr>
          <w:lang w:val="es-ES"/>
        </w:rPr>
        <w:t xml:space="preserve">la tasa de </w:t>
      </w:r>
      <w:r w:rsidR="009371C2">
        <w:rPr>
          <w:lang w:val="es-ES"/>
        </w:rPr>
        <w:t>abandono</w:t>
      </w:r>
      <w:r w:rsidR="009371C2" w:rsidRPr="00CC5A20">
        <w:rPr>
          <w:lang w:val="es-ES"/>
        </w:rPr>
        <w:t xml:space="preserve"> </w:t>
      </w:r>
      <w:r w:rsidR="008600DD" w:rsidRPr="00CC5A20">
        <w:rPr>
          <w:lang w:val="es-ES"/>
        </w:rPr>
        <w:t xml:space="preserve">recomendada para todos los años: 5% anual tanto para adultos como para niños en todas las regiones excepto en los </w:t>
      </w:r>
      <w:r w:rsidR="72CE02C2" w:rsidRPr="00CC5A20">
        <w:rPr>
          <w:lang w:val="es-ES"/>
        </w:rPr>
        <w:t>países de renta alta</w:t>
      </w:r>
      <w:r w:rsidR="008600DD" w:rsidRPr="00CC5A20">
        <w:rPr>
          <w:lang w:val="es-ES"/>
        </w:rPr>
        <w:t>, donde el valor por defecto es 1,6%.</w:t>
      </w:r>
      <w:r w:rsidR="00B07BDE" w:rsidRPr="00CC5A20">
        <w:rPr>
          <w:lang w:val="es-ES"/>
        </w:rPr>
        <w:br/>
      </w:r>
    </w:p>
    <w:p w14:paraId="03D4C4B6" w14:textId="77777777" w:rsidR="003C035E" w:rsidRPr="00CC5A20" w:rsidRDefault="008600DD">
      <w:pPr>
        <w:pStyle w:val="ListParagraph"/>
        <w:numPr>
          <w:ilvl w:val="0"/>
          <w:numId w:val="2"/>
        </w:numPr>
        <w:rPr>
          <w:lang w:val="es-ES"/>
        </w:rPr>
      </w:pPr>
      <w:r w:rsidRPr="00CC5A20">
        <w:rPr>
          <w:lang w:val="es-ES"/>
        </w:rPr>
        <w:t xml:space="preserve">Se han actualizado </w:t>
      </w:r>
      <w:r w:rsidRPr="00CC5A20">
        <w:rPr>
          <w:b/>
          <w:bCs/>
          <w:lang w:val="es-ES"/>
        </w:rPr>
        <w:t xml:space="preserve">los patrones de lactancia materna </w:t>
      </w:r>
      <w:r w:rsidR="326CA6BC" w:rsidRPr="00CC5A20">
        <w:rPr>
          <w:lang w:val="es-ES"/>
        </w:rPr>
        <w:t xml:space="preserve">para </w:t>
      </w:r>
      <w:r w:rsidR="652FF9BD" w:rsidRPr="00CC5A20">
        <w:rPr>
          <w:lang w:val="es-ES"/>
        </w:rPr>
        <w:t xml:space="preserve">incorporar </w:t>
      </w:r>
      <w:r w:rsidRPr="00CC5A20">
        <w:rPr>
          <w:lang w:val="es-ES"/>
        </w:rPr>
        <w:t xml:space="preserve">los datos de las últimas encuestas (para 6 países del África </w:t>
      </w:r>
      <w:r w:rsidR="459BCC25" w:rsidRPr="00CC5A20">
        <w:rPr>
          <w:lang w:val="es-ES"/>
        </w:rPr>
        <w:t>subsahariana</w:t>
      </w:r>
      <w:r w:rsidRPr="00CC5A20">
        <w:rPr>
          <w:lang w:val="es-ES"/>
        </w:rPr>
        <w:t>). Esto mejorará ligeramente las estimaciones de la PTMI para todos los países de África meridional, oriental y occidental</w:t>
      </w:r>
      <w:r w:rsidR="55F7ACD8" w:rsidRPr="00CC5A20">
        <w:rPr>
          <w:lang w:val="es-ES"/>
        </w:rPr>
        <w:t>. Para ello</w:t>
      </w:r>
      <w:r w:rsidR="62427851" w:rsidRPr="00CC5A20">
        <w:rPr>
          <w:lang w:val="es-ES"/>
        </w:rPr>
        <w:t xml:space="preserve">, seleccione </w:t>
      </w:r>
      <w:r w:rsidRPr="00CC5A20">
        <w:rPr>
          <w:lang w:val="es-ES"/>
        </w:rPr>
        <w:t>Leer datos de encuesta en AIM &gt; PTMI &gt; Lactancia.</w:t>
      </w:r>
    </w:p>
    <w:p w14:paraId="4D41CAD5" w14:textId="1434310A" w:rsidR="00AF03C0" w:rsidRPr="00CC5A20" w:rsidRDefault="00AF03C0" w:rsidP="00451256">
      <w:pPr>
        <w:pStyle w:val="ListParagraph"/>
        <w:ind w:left="360"/>
        <w:rPr>
          <w:lang w:val="es-ES"/>
        </w:rPr>
      </w:pPr>
      <w:r w:rsidRPr="00CC5A20">
        <w:rPr>
          <w:lang w:val="es-ES"/>
        </w:rPr>
        <w:t xml:space="preserve"> </w:t>
      </w:r>
    </w:p>
    <w:p w14:paraId="148B3337" w14:textId="3BEB12C5" w:rsidR="003C035E" w:rsidRPr="00CC5A20" w:rsidRDefault="008600DD">
      <w:pPr>
        <w:pStyle w:val="ListParagraph"/>
        <w:numPr>
          <w:ilvl w:val="0"/>
          <w:numId w:val="2"/>
        </w:numPr>
        <w:rPr>
          <w:lang w:val="es-ES"/>
        </w:rPr>
      </w:pPr>
      <w:r w:rsidRPr="00CC5A20">
        <w:rPr>
          <w:b/>
          <w:bCs/>
          <w:lang w:val="es-ES"/>
        </w:rPr>
        <w:t>Conocimiento del estado serológico de los niños</w:t>
      </w:r>
      <w:r w:rsidRPr="00CC5A20">
        <w:rPr>
          <w:lang w:val="es-ES"/>
        </w:rPr>
        <w:t xml:space="preserve">. Dado que la información sobre el porcentaje de niños que conocen su estado serológico es escasa, se </w:t>
      </w:r>
      <w:r w:rsidR="540D5BE5" w:rsidRPr="00CC5A20">
        <w:rPr>
          <w:lang w:val="es-ES"/>
        </w:rPr>
        <w:t xml:space="preserve">ha utilizado como aproximación </w:t>
      </w:r>
      <w:r w:rsidRPr="00CC5A20">
        <w:rPr>
          <w:lang w:val="es-ES"/>
        </w:rPr>
        <w:t xml:space="preserve">el </w:t>
      </w:r>
      <w:r w:rsidR="540D5BE5" w:rsidRPr="00CC5A20">
        <w:rPr>
          <w:lang w:val="es-ES"/>
        </w:rPr>
        <w:t xml:space="preserve">número de niños que reciben tratamiento </w:t>
      </w:r>
      <w:r w:rsidR="005D6D87">
        <w:rPr>
          <w:lang w:val="es-ES"/>
        </w:rPr>
        <w:t>antirretroviral</w:t>
      </w:r>
      <w:r w:rsidR="540D5BE5" w:rsidRPr="00CC5A20">
        <w:rPr>
          <w:lang w:val="es-ES"/>
        </w:rPr>
        <w:t xml:space="preserve">, </w:t>
      </w:r>
      <w:r w:rsidR="00B3677B" w:rsidRPr="00CC5A20">
        <w:rPr>
          <w:lang w:val="es-ES"/>
        </w:rPr>
        <w:t xml:space="preserve">pero </w:t>
      </w:r>
      <w:r w:rsidR="59321497" w:rsidRPr="00CC5A20">
        <w:rPr>
          <w:lang w:val="es-ES"/>
        </w:rPr>
        <w:t xml:space="preserve">es probable que se trate de una </w:t>
      </w:r>
      <w:r w:rsidR="496A9C3B" w:rsidRPr="00CC5A20">
        <w:rPr>
          <w:lang w:val="es-ES"/>
        </w:rPr>
        <w:t>subestimación</w:t>
      </w:r>
      <w:r w:rsidR="540D5BE5" w:rsidRPr="00CC5A20">
        <w:rPr>
          <w:lang w:val="es-ES"/>
        </w:rPr>
        <w:t xml:space="preserve">. Spectrum </w:t>
      </w:r>
      <w:r w:rsidR="00324AC7" w:rsidRPr="00CC5A20">
        <w:rPr>
          <w:lang w:val="es-ES"/>
        </w:rPr>
        <w:t xml:space="preserve">ofrece ahora la opción de </w:t>
      </w:r>
      <w:r w:rsidR="540D5BE5" w:rsidRPr="00CC5A20">
        <w:rPr>
          <w:lang w:val="es-ES"/>
        </w:rPr>
        <w:t xml:space="preserve">calcular el </w:t>
      </w:r>
      <w:r w:rsidR="0055565F" w:rsidRPr="00CC5A20">
        <w:rPr>
          <w:lang w:val="es-ES"/>
        </w:rPr>
        <w:t xml:space="preserve">número de niños </w:t>
      </w:r>
      <w:r w:rsidR="540D5BE5" w:rsidRPr="00CC5A20">
        <w:rPr>
          <w:lang w:val="es-ES"/>
        </w:rPr>
        <w:t xml:space="preserve">seropositivos que conocen su estado </w:t>
      </w:r>
      <w:r w:rsidR="0055565F" w:rsidRPr="00CC5A20">
        <w:rPr>
          <w:lang w:val="es-ES"/>
        </w:rPr>
        <w:t>serológico</w:t>
      </w:r>
      <w:r w:rsidR="16D5AF3B" w:rsidRPr="00CC5A20">
        <w:rPr>
          <w:lang w:val="es-ES"/>
        </w:rPr>
        <w:t xml:space="preserve">. Esto se calcula </w:t>
      </w:r>
      <w:r w:rsidR="0055565F" w:rsidRPr="00CC5A20">
        <w:rPr>
          <w:lang w:val="es-ES"/>
        </w:rPr>
        <w:t xml:space="preserve">utilizando </w:t>
      </w:r>
      <w:r w:rsidR="26C3C002" w:rsidRPr="00CC5A20">
        <w:rPr>
          <w:lang w:val="es-ES"/>
        </w:rPr>
        <w:t xml:space="preserve">el </w:t>
      </w:r>
      <w:r w:rsidR="00324AC7" w:rsidRPr="00CC5A20">
        <w:rPr>
          <w:lang w:val="es-ES"/>
        </w:rPr>
        <w:t xml:space="preserve">número </w:t>
      </w:r>
      <w:r w:rsidR="4B1E239F" w:rsidRPr="00CC5A20">
        <w:rPr>
          <w:lang w:val="es-ES"/>
        </w:rPr>
        <w:t xml:space="preserve">de niños en </w:t>
      </w:r>
      <w:r w:rsidR="00324AC7" w:rsidRPr="00CC5A20">
        <w:rPr>
          <w:lang w:val="es-ES"/>
        </w:rPr>
        <w:t xml:space="preserve">tratamiento </w:t>
      </w:r>
      <w:r w:rsidR="005D6D87">
        <w:rPr>
          <w:lang w:val="es-ES"/>
        </w:rPr>
        <w:t>antirretroviral</w:t>
      </w:r>
      <w:r w:rsidR="00324AC7" w:rsidRPr="00CC5A20">
        <w:rPr>
          <w:lang w:val="es-ES"/>
        </w:rPr>
        <w:t xml:space="preserve"> (introducido en el editor de Tratamiento infantil) más </w:t>
      </w:r>
      <w:r w:rsidR="470F91E2" w:rsidRPr="00CC5A20">
        <w:rPr>
          <w:lang w:val="es-ES"/>
        </w:rPr>
        <w:t xml:space="preserve">el </w:t>
      </w:r>
      <w:r w:rsidR="00324AC7" w:rsidRPr="00CC5A20">
        <w:rPr>
          <w:lang w:val="es-ES"/>
        </w:rPr>
        <w:t xml:space="preserve">número de niños </w:t>
      </w:r>
      <w:r w:rsidR="001B22AB" w:rsidRPr="00CC5A20">
        <w:rPr>
          <w:lang w:val="es-ES"/>
        </w:rPr>
        <w:t xml:space="preserve">tratados </w:t>
      </w:r>
      <w:r w:rsidR="00324AC7" w:rsidRPr="00CC5A20">
        <w:rPr>
          <w:lang w:val="es-ES"/>
        </w:rPr>
        <w:t xml:space="preserve">previamente (estimado utilizando las tasas de </w:t>
      </w:r>
      <w:r w:rsidR="000E252C">
        <w:rPr>
          <w:lang w:val="es-ES"/>
        </w:rPr>
        <w:t>abandono</w:t>
      </w:r>
      <w:r w:rsidR="000E252C" w:rsidRPr="00CC5A20">
        <w:rPr>
          <w:lang w:val="es-ES"/>
        </w:rPr>
        <w:t xml:space="preserve"> </w:t>
      </w:r>
      <w:r w:rsidR="00324AC7" w:rsidRPr="00CC5A20">
        <w:rPr>
          <w:lang w:val="es-ES"/>
        </w:rPr>
        <w:t>del tratamiento en el editor de Tratamiento infantil)</w:t>
      </w:r>
      <w:r w:rsidR="001B22AB" w:rsidRPr="00CC5A20">
        <w:rPr>
          <w:lang w:val="es-ES"/>
        </w:rPr>
        <w:t xml:space="preserve">, teniendo en cuenta también el envejecimiento de la cohorte infantil (0-14 años) y las muertes. Para utilizar esta </w:t>
      </w:r>
      <w:r w:rsidR="00716FE4" w:rsidRPr="00CC5A20">
        <w:rPr>
          <w:lang w:val="es-ES"/>
        </w:rPr>
        <w:t>nueva función</w:t>
      </w:r>
      <w:r w:rsidR="001B22AB" w:rsidRPr="00CC5A20">
        <w:rPr>
          <w:lang w:val="es-ES"/>
        </w:rPr>
        <w:t xml:space="preserve">, haga clic en el </w:t>
      </w:r>
      <w:r w:rsidR="19E59322" w:rsidRPr="00CC5A20">
        <w:rPr>
          <w:lang w:val="es-ES"/>
        </w:rPr>
        <w:t>botón "</w:t>
      </w:r>
      <w:r w:rsidR="00D111F0" w:rsidRPr="00CC5A20">
        <w:rPr>
          <w:lang w:val="es-ES"/>
        </w:rPr>
        <w:t>Calcular el conocimiento del estado de los niños</w:t>
      </w:r>
      <w:r w:rsidR="19E59322" w:rsidRPr="00CC5A20">
        <w:rPr>
          <w:lang w:val="es-ES"/>
        </w:rPr>
        <w:t xml:space="preserve">" </w:t>
      </w:r>
      <w:r w:rsidR="001B22AB" w:rsidRPr="00CC5A20">
        <w:rPr>
          <w:lang w:val="es-ES"/>
        </w:rPr>
        <w:t xml:space="preserve">en el editor de </w:t>
      </w:r>
      <w:r w:rsidR="19E59322" w:rsidRPr="00CC5A20">
        <w:rPr>
          <w:lang w:val="es-ES"/>
        </w:rPr>
        <w:t>conocimiento del estado</w:t>
      </w:r>
      <w:r w:rsidR="00716FE4" w:rsidRPr="00CC5A20">
        <w:rPr>
          <w:lang w:val="es-ES"/>
        </w:rPr>
        <w:t xml:space="preserve">. </w:t>
      </w:r>
    </w:p>
    <w:p w14:paraId="3B388831" w14:textId="77777777" w:rsidR="003C035E" w:rsidRPr="00CC5A20" w:rsidRDefault="24C55949">
      <w:pPr>
        <w:pStyle w:val="Heading2"/>
        <w:rPr>
          <w:lang w:val="es-ES"/>
        </w:rPr>
      </w:pPr>
      <w:r w:rsidRPr="00CC5A20">
        <w:rPr>
          <w:lang w:val="es-ES"/>
        </w:rPr>
        <w:t xml:space="preserve">Parámetros por defecto </w:t>
      </w:r>
      <w:r w:rsidR="1010C5C0" w:rsidRPr="00CC5A20">
        <w:rPr>
          <w:lang w:val="es-ES"/>
        </w:rPr>
        <w:t xml:space="preserve">y </w:t>
      </w:r>
      <w:r w:rsidRPr="00CC5A20">
        <w:rPr>
          <w:lang w:val="es-ES"/>
        </w:rPr>
        <w:t>patrones</w:t>
      </w:r>
      <w:r w:rsidR="1FD0D971" w:rsidRPr="00CC5A20">
        <w:rPr>
          <w:lang w:val="es-ES"/>
        </w:rPr>
        <w:t xml:space="preserve"> regionales</w:t>
      </w:r>
    </w:p>
    <w:p w14:paraId="02CD9705" w14:textId="35684B5F" w:rsidR="003C035E" w:rsidRPr="00CC5A20" w:rsidRDefault="008600DD">
      <w:pPr>
        <w:pStyle w:val="ListParagraph"/>
        <w:numPr>
          <w:ilvl w:val="0"/>
          <w:numId w:val="2"/>
        </w:numPr>
        <w:rPr>
          <w:lang w:val="es-ES"/>
        </w:rPr>
      </w:pPr>
      <w:r w:rsidRPr="00CC5A20">
        <w:rPr>
          <w:b/>
          <w:bCs/>
          <w:lang w:val="es-ES"/>
        </w:rPr>
        <w:t xml:space="preserve">Tendencias de la mortalidad </w:t>
      </w:r>
      <w:r w:rsidR="00D13610">
        <w:rPr>
          <w:b/>
          <w:bCs/>
          <w:lang w:val="es-ES"/>
        </w:rPr>
        <w:t>e</w:t>
      </w:r>
      <w:r w:rsidRPr="00CC5A20">
        <w:rPr>
          <w:b/>
          <w:bCs/>
          <w:lang w:val="es-ES"/>
        </w:rPr>
        <w:t>n-</w:t>
      </w:r>
      <w:r w:rsidR="00D13610">
        <w:rPr>
          <w:b/>
          <w:bCs/>
          <w:lang w:val="es-ES"/>
        </w:rPr>
        <w:t>TAR</w:t>
      </w:r>
      <w:r w:rsidRPr="00CC5A20">
        <w:rPr>
          <w:lang w:val="es-ES"/>
        </w:rPr>
        <w:t xml:space="preserve">. La tendencia temporal de la mortalidad de adultos en terapia </w:t>
      </w:r>
      <w:r w:rsidR="005D6D87">
        <w:rPr>
          <w:lang w:val="es-ES"/>
        </w:rPr>
        <w:t>antirretroviral</w:t>
      </w:r>
      <w:r w:rsidRPr="00CC5A20">
        <w:rPr>
          <w:lang w:val="es-ES"/>
        </w:rPr>
        <w:t xml:space="preserve"> de más de 12 meses de duración se ha actualizado para que se mantenga constante después de 2018. Anteriormente se había previsto que siguiera disminuyendo hasta 2021 </w:t>
      </w:r>
      <w:r w:rsidR="00A27FEA" w:rsidRPr="00CC5A20">
        <w:rPr>
          <w:lang w:val="es-ES"/>
        </w:rPr>
        <w:t xml:space="preserve">(suponiendo que la </w:t>
      </w:r>
      <w:r w:rsidR="00483E0F" w:rsidRPr="00CC5A20">
        <w:rPr>
          <w:lang w:val="es-ES"/>
        </w:rPr>
        <w:t>mejora de los regímenes antirretrovirales siguiera aumentando la supervivencia)</w:t>
      </w:r>
      <w:r w:rsidRPr="00CC5A20">
        <w:rPr>
          <w:lang w:val="es-ES"/>
        </w:rPr>
        <w:t xml:space="preserve">. </w:t>
      </w:r>
      <w:r w:rsidR="00B268D1" w:rsidRPr="00CC5A20">
        <w:rPr>
          <w:lang w:val="es-ES"/>
        </w:rPr>
        <w:t xml:space="preserve">El cambio implica unas </w:t>
      </w:r>
      <w:r w:rsidR="00A27B33" w:rsidRPr="00CC5A20">
        <w:rPr>
          <w:lang w:val="es-ES"/>
        </w:rPr>
        <w:t xml:space="preserve">estimaciones </w:t>
      </w:r>
      <w:r w:rsidR="00BF4F61" w:rsidRPr="00CC5A20">
        <w:rPr>
          <w:lang w:val="es-ES"/>
        </w:rPr>
        <w:t xml:space="preserve">ligeramente superiores </w:t>
      </w:r>
      <w:r w:rsidR="00A27B33" w:rsidRPr="00CC5A20">
        <w:rPr>
          <w:lang w:val="es-ES"/>
        </w:rPr>
        <w:t xml:space="preserve">de la </w:t>
      </w:r>
      <w:r w:rsidR="006F48FC" w:rsidRPr="00CC5A20">
        <w:rPr>
          <w:lang w:val="es-ES"/>
        </w:rPr>
        <w:t xml:space="preserve">incidencia y/o de las </w:t>
      </w:r>
      <w:r w:rsidR="00A27B33" w:rsidRPr="00CC5A20">
        <w:rPr>
          <w:lang w:val="es-ES"/>
        </w:rPr>
        <w:t>PVVIH en algunos entornos.</w:t>
      </w:r>
      <w:r w:rsidRPr="00CC5A20">
        <w:rPr>
          <w:lang w:val="es-ES"/>
        </w:rPr>
        <w:br/>
      </w:r>
    </w:p>
    <w:p w14:paraId="24275EC7" w14:textId="6A4776F5" w:rsidR="003C035E" w:rsidRPr="00CC5A20" w:rsidRDefault="008600DD">
      <w:pPr>
        <w:pStyle w:val="ListParagraph"/>
        <w:numPr>
          <w:ilvl w:val="0"/>
          <w:numId w:val="2"/>
        </w:numPr>
        <w:rPr>
          <w:lang w:val="es-ES"/>
        </w:rPr>
      </w:pPr>
      <w:r w:rsidRPr="00CC5A20">
        <w:rPr>
          <w:b/>
          <w:bCs/>
          <w:lang w:val="es-ES"/>
        </w:rPr>
        <w:t xml:space="preserve">Patrones regionales de mortalidad </w:t>
      </w:r>
      <w:r w:rsidR="0070156D">
        <w:rPr>
          <w:b/>
          <w:bCs/>
          <w:lang w:val="es-ES"/>
        </w:rPr>
        <w:t>de PVVIH en</w:t>
      </w:r>
      <w:r w:rsidRPr="00CC5A20">
        <w:rPr>
          <w:b/>
          <w:bCs/>
          <w:lang w:val="es-ES"/>
        </w:rPr>
        <w:t xml:space="preserve"> TAR</w:t>
      </w:r>
      <w:r w:rsidRPr="003743CA">
        <w:rPr>
          <w:lang w:val="es-ES"/>
        </w:rPr>
        <w:t>. Las</w:t>
      </w:r>
      <w:r w:rsidRPr="00CC5A20">
        <w:rPr>
          <w:b/>
          <w:bCs/>
          <w:lang w:val="es-ES"/>
        </w:rPr>
        <w:t xml:space="preserve"> </w:t>
      </w:r>
      <w:r w:rsidRPr="00CC5A20">
        <w:rPr>
          <w:lang w:val="es-ES"/>
        </w:rPr>
        <w:t xml:space="preserve">tasas de mortalidad en la terapia </w:t>
      </w:r>
      <w:r w:rsidR="005D6D87">
        <w:rPr>
          <w:lang w:val="es-ES"/>
        </w:rPr>
        <w:t>antirretroviral</w:t>
      </w:r>
      <w:r w:rsidR="00B07BDE" w:rsidRPr="00CC5A20">
        <w:rPr>
          <w:lang w:val="es-ES"/>
        </w:rPr>
        <w:t xml:space="preserve"> en las </w:t>
      </w:r>
      <w:r w:rsidRPr="00CC5A20">
        <w:rPr>
          <w:lang w:val="es-ES"/>
        </w:rPr>
        <w:t>regiones de Asia-Pacífico</w:t>
      </w:r>
      <w:r w:rsidR="00535BAF">
        <w:rPr>
          <w:lang w:val="es-ES"/>
        </w:rPr>
        <w:t xml:space="preserve">, </w:t>
      </w:r>
      <w:r w:rsidRPr="00CC5A20">
        <w:rPr>
          <w:lang w:val="es-ES"/>
        </w:rPr>
        <w:t xml:space="preserve">América Latina </w:t>
      </w:r>
      <w:r w:rsidR="00535BAF">
        <w:rPr>
          <w:lang w:val="es-ES"/>
        </w:rPr>
        <w:t xml:space="preserve">y los Caribes </w:t>
      </w:r>
      <w:r w:rsidRPr="00CC5A20">
        <w:rPr>
          <w:lang w:val="es-ES"/>
        </w:rPr>
        <w:t>se han actualizado a partir del análisis del Consorcio IeDEA</w:t>
      </w:r>
      <w:r w:rsidR="00B07BDE" w:rsidRPr="00CC5A20">
        <w:rPr>
          <w:lang w:val="es-ES"/>
        </w:rPr>
        <w:t xml:space="preserve">, reflejando los efectos de los regímenes </w:t>
      </w:r>
      <w:r w:rsidR="005D6D87">
        <w:rPr>
          <w:lang w:val="es-ES"/>
        </w:rPr>
        <w:t>antirretroviral</w:t>
      </w:r>
      <w:r w:rsidR="005D6D87" w:rsidRPr="00CC5A20">
        <w:rPr>
          <w:lang w:val="es-ES"/>
        </w:rPr>
        <w:t>es</w:t>
      </w:r>
      <w:r w:rsidR="00B07BDE" w:rsidRPr="00CC5A20">
        <w:rPr>
          <w:lang w:val="es-ES"/>
        </w:rPr>
        <w:t xml:space="preserve"> mejorados</w:t>
      </w:r>
      <w:r w:rsidRPr="00CC5A20">
        <w:rPr>
          <w:lang w:val="es-ES"/>
        </w:rPr>
        <w:t xml:space="preserve">. Dado que no </w:t>
      </w:r>
      <w:r w:rsidR="00463ED7" w:rsidRPr="00CC5A20">
        <w:rPr>
          <w:lang w:val="es-ES"/>
        </w:rPr>
        <w:t xml:space="preserve">se </w:t>
      </w:r>
      <w:r w:rsidRPr="00CC5A20">
        <w:rPr>
          <w:lang w:val="es-ES"/>
        </w:rPr>
        <w:t xml:space="preserve">disponía de </w:t>
      </w:r>
      <w:r w:rsidR="00463ED7" w:rsidRPr="00CC5A20">
        <w:rPr>
          <w:lang w:val="es-ES"/>
        </w:rPr>
        <w:t xml:space="preserve">nuevos </w:t>
      </w:r>
      <w:r w:rsidRPr="00CC5A20">
        <w:rPr>
          <w:lang w:val="es-ES"/>
        </w:rPr>
        <w:t xml:space="preserve">datos </w:t>
      </w:r>
      <w:r w:rsidR="0053158B" w:rsidRPr="00CC5A20">
        <w:rPr>
          <w:lang w:val="es-ES"/>
        </w:rPr>
        <w:t xml:space="preserve">de Europa del </w:t>
      </w:r>
      <w:r w:rsidRPr="00CC5A20">
        <w:rPr>
          <w:lang w:val="es-ES"/>
        </w:rPr>
        <w:t xml:space="preserve">Este </w:t>
      </w:r>
      <w:r w:rsidR="0053158B" w:rsidRPr="00CC5A20">
        <w:rPr>
          <w:lang w:val="es-ES"/>
        </w:rPr>
        <w:t xml:space="preserve">ni de </w:t>
      </w:r>
      <w:r w:rsidRPr="00CC5A20">
        <w:rPr>
          <w:lang w:val="es-ES"/>
        </w:rPr>
        <w:t xml:space="preserve">Oriente Medio y </w:t>
      </w:r>
      <w:r w:rsidRPr="00CC5A20">
        <w:rPr>
          <w:lang w:val="es-ES"/>
        </w:rPr>
        <w:lastRenderedPageBreak/>
        <w:t xml:space="preserve">Norte de África, los </w:t>
      </w:r>
      <w:r w:rsidR="0053158B" w:rsidRPr="00CC5A20">
        <w:rPr>
          <w:lang w:val="es-ES"/>
        </w:rPr>
        <w:t xml:space="preserve">patrones de estas regiones se han </w:t>
      </w:r>
      <w:r w:rsidRPr="00CC5A20">
        <w:rPr>
          <w:lang w:val="es-ES"/>
        </w:rPr>
        <w:t xml:space="preserve">actualizado para que coincidan con sus regiones sustitutivas: América Latina para Europa Oriental y África Oriental para Oriente Medio </w:t>
      </w:r>
      <w:r w:rsidR="16614A2E" w:rsidRPr="00CC5A20">
        <w:rPr>
          <w:lang w:val="es-ES"/>
        </w:rPr>
        <w:t>y Norte de África</w:t>
      </w:r>
      <w:r w:rsidRPr="00CC5A20">
        <w:rPr>
          <w:lang w:val="es-ES"/>
        </w:rPr>
        <w:t xml:space="preserve">. </w:t>
      </w:r>
      <w:r w:rsidRPr="00CC5A20">
        <w:rPr>
          <w:lang w:val="es-ES"/>
        </w:rPr>
        <w:br/>
      </w:r>
    </w:p>
    <w:p w14:paraId="156BC879" w14:textId="77777777" w:rsidR="003C035E" w:rsidRDefault="008600DD">
      <w:pPr>
        <w:pStyle w:val="Heading2"/>
      </w:pPr>
      <w:proofErr w:type="spellStart"/>
      <w:r>
        <w:t>Modelos</w:t>
      </w:r>
      <w:proofErr w:type="spellEnd"/>
      <w:r>
        <w:t xml:space="preserve"> de </w:t>
      </w:r>
      <w:proofErr w:type="spellStart"/>
      <w:r>
        <w:t>incidencia</w:t>
      </w:r>
      <w:proofErr w:type="spellEnd"/>
    </w:p>
    <w:p w14:paraId="62F67BB5" w14:textId="3C6D4681" w:rsidR="003C035E" w:rsidRPr="00CC5A20" w:rsidRDefault="00DA383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b/>
          <w:bCs/>
          <w:lang w:val="es-ES"/>
        </w:rPr>
        <w:t>S</w:t>
      </w:r>
      <w:r w:rsidR="008600DD" w:rsidRPr="00CC5A20">
        <w:rPr>
          <w:b/>
          <w:bCs/>
          <w:lang w:val="es-ES"/>
        </w:rPr>
        <w:t>plines CSAVR</w:t>
      </w:r>
      <w:r w:rsidR="008600DD" w:rsidRPr="00CC5A20">
        <w:rPr>
          <w:lang w:val="es-ES"/>
        </w:rPr>
        <w:t xml:space="preserve">. Se ha añadido una opción </w:t>
      </w:r>
      <w:r w:rsidR="005F107F" w:rsidRPr="00CC5A20">
        <w:rPr>
          <w:lang w:val="es-ES"/>
        </w:rPr>
        <w:t xml:space="preserve">que permite </w:t>
      </w:r>
      <w:r w:rsidR="008600DD" w:rsidRPr="00CC5A20">
        <w:rPr>
          <w:lang w:val="es-ES"/>
        </w:rPr>
        <w:t>al usuario especificar si el modelo debe utilizar 3, 4 o 5 n</w:t>
      </w:r>
      <w:r w:rsidR="003743CA">
        <w:rPr>
          <w:lang w:val="es-ES"/>
        </w:rPr>
        <w:t>u</w:t>
      </w:r>
      <w:r w:rsidR="008600DD" w:rsidRPr="00CC5A20">
        <w:rPr>
          <w:lang w:val="es-ES"/>
        </w:rPr>
        <w:t xml:space="preserve">dos en el </w:t>
      </w:r>
      <w:r w:rsidR="003743CA">
        <w:rPr>
          <w:lang w:val="es-ES"/>
        </w:rPr>
        <w:t>S</w:t>
      </w:r>
      <w:r w:rsidR="008600DD" w:rsidRPr="00CC5A20">
        <w:rPr>
          <w:lang w:val="es-ES"/>
        </w:rPr>
        <w:t xml:space="preserve">pline. El valor predeterminado sigue siendo </w:t>
      </w:r>
      <w:r w:rsidR="005F107F" w:rsidRPr="00CC5A20">
        <w:rPr>
          <w:lang w:val="es-ES"/>
        </w:rPr>
        <w:t>5; un menor número de n</w:t>
      </w:r>
      <w:r>
        <w:rPr>
          <w:lang w:val="es-ES"/>
        </w:rPr>
        <w:t>u</w:t>
      </w:r>
      <w:r w:rsidR="005F107F" w:rsidRPr="00CC5A20">
        <w:rPr>
          <w:lang w:val="es-ES"/>
        </w:rPr>
        <w:t>dos dará lugar a curvas más suaves y planas, que son menos sensibles a los valores atípicos en los datos, por ejemplo, caídas temporales en los informes de casos recientes durante las crisis de los sistemas sanitarios</w:t>
      </w:r>
      <w:r w:rsidR="008600DD" w:rsidRPr="00CC5A20">
        <w:rPr>
          <w:lang w:val="es-ES"/>
        </w:rPr>
        <w:t xml:space="preserve">. </w:t>
      </w:r>
      <w:r w:rsidR="008600DD" w:rsidRPr="00CC5A20">
        <w:rPr>
          <w:lang w:val="es-ES"/>
        </w:rPr>
        <w:br/>
      </w:r>
    </w:p>
    <w:p w14:paraId="24F4BFF9" w14:textId="0B681FE7" w:rsidR="003C035E" w:rsidRPr="00CC5A20" w:rsidRDefault="143AF054">
      <w:pPr>
        <w:pStyle w:val="ListParagraph"/>
        <w:numPr>
          <w:ilvl w:val="0"/>
          <w:numId w:val="2"/>
        </w:numPr>
        <w:rPr>
          <w:lang w:val="es-ES"/>
        </w:rPr>
      </w:pPr>
      <w:r w:rsidRPr="00CC5A20">
        <w:rPr>
          <w:b/>
          <w:bCs/>
          <w:lang w:val="es-ES"/>
        </w:rPr>
        <w:t xml:space="preserve">Restricción del CSAVR </w:t>
      </w:r>
      <w:r w:rsidR="7116C2C3" w:rsidRPr="00CC5A20">
        <w:rPr>
          <w:b/>
          <w:bCs/>
          <w:lang w:val="es-ES"/>
        </w:rPr>
        <w:t xml:space="preserve">sobre </w:t>
      </w:r>
      <w:r w:rsidRPr="00CC5A20">
        <w:rPr>
          <w:b/>
          <w:bCs/>
          <w:lang w:val="es-ES"/>
        </w:rPr>
        <w:t>las PVVS</w:t>
      </w:r>
      <w:r w:rsidRPr="00CC5A20">
        <w:rPr>
          <w:lang w:val="es-ES"/>
        </w:rPr>
        <w:t xml:space="preserve">. </w:t>
      </w:r>
      <w:r w:rsidR="0096342D" w:rsidRPr="00CC5A20">
        <w:rPr>
          <w:lang w:val="es-ES"/>
        </w:rPr>
        <w:t xml:space="preserve">El CSAVR se ha mejorado para </w:t>
      </w:r>
      <w:r w:rsidRPr="00CC5A20">
        <w:rPr>
          <w:lang w:val="es-ES"/>
        </w:rPr>
        <w:t xml:space="preserve">restringir </w:t>
      </w:r>
      <w:r w:rsidR="0096342D" w:rsidRPr="00CC5A20">
        <w:rPr>
          <w:lang w:val="es-ES"/>
        </w:rPr>
        <w:t xml:space="preserve">su </w:t>
      </w:r>
      <w:r w:rsidRPr="00CC5A20">
        <w:rPr>
          <w:lang w:val="es-ES"/>
        </w:rPr>
        <w:t xml:space="preserve">estimación de </w:t>
      </w:r>
      <w:r w:rsidR="00157FE3" w:rsidRPr="00CC5A20">
        <w:rPr>
          <w:lang w:val="es-ES"/>
        </w:rPr>
        <w:t xml:space="preserve">personas que viven con el VIH </w:t>
      </w:r>
      <w:r w:rsidRPr="00CC5A20">
        <w:rPr>
          <w:lang w:val="es-ES"/>
        </w:rPr>
        <w:t xml:space="preserve">para que sea al menos tan grande como el número de personas que reciben tratamiento </w:t>
      </w:r>
      <w:r w:rsidR="005D6D87">
        <w:rPr>
          <w:lang w:val="es-ES"/>
        </w:rPr>
        <w:t>antirretroviral</w:t>
      </w:r>
      <w:r w:rsidRPr="00CC5A20">
        <w:rPr>
          <w:lang w:val="es-ES"/>
        </w:rPr>
        <w:t xml:space="preserve"> </w:t>
      </w:r>
      <w:r w:rsidR="0096342D" w:rsidRPr="00CC5A20">
        <w:rPr>
          <w:lang w:val="es-ES"/>
        </w:rPr>
        <w:t>notificado</w:t>
      </w:r>
      <w:r w:rsidR="18D3822D" w:rsidRPr="00CC5A20">
        <w:rPr>
          <w:lang w:val="es-ES"/>
        </w:rPr>
        <w:t xml:space="preserve"> por el programa</w:t>
      </w:r>
      <w:r w:rsidRPr="00CC5A20">
        <w:rPr>
          <w:lang w:val="es-ES"/>
        </w:rPr>
        <w:t xml:space="preserve">. </w:t>
      </w:r>
      <w:r w:rsidR="46BF0EF2" w:rsidRPr="00CC5A20">
        <w:rPr>
          <w:lang w:val="es-ES"/>
        </w:rPr>
        <w:t xml:space="preserve">En </w:t>
      </w:r>
      <w:r w:rsidR="0096342D" w:rsidRPr="00CC5A20">
        <w:rPr>
          <w:lang w:val="es-ES"/>
        </w:rPr>
        <w:t xml:space="preserve">casos excepcionales, el usuario puede </w:t>
      </w:r>
      <w:r w:rsidR="4C793F21" w:rsidRPr="00CC5A20">
        <w:rPr>
          <w:lang w:val="es-ES"/>
        </w:rPr>
        <w:t xml:space="preserve">eludir </w:t>
      </w:r>
      <w:r w:rsidR="0096342D" w:rsidRPr="00CC5A20">
        <w:rPr>
          <w:lang w:val="es-ES"/>
        </w:rPr>
        <w:t xml:space="preserve">esta restricción </w:t>
      </w:r>
      <w:r w:rsidR="00BD11A1" w:rsidRPr="00CC5A20">
        <w:rPr>
          <w:lang w:val="es-ES"/>
        </w:rPr>
        <w:t xml:space="preserve">si los datos de TAR del programa </w:t>
      </w:r>
      <w:r w:rsidR="00045E98" w:rsidRPr="00CC5A20">
        <w:rPr>
          <w:lang w:val="es-ES"/>
        </w:rPr>
        <w:t xml:space="preserve">se consideran </w:t>
      </w:r>
      <w:r w:rsidR="00BD11A1" w:rsidRPr="00CC5A20">
        <w:rPr>
          <w:lang w:val="es-ES"/>
        </w:rPr>
        <w:t>poco fiables</w:t>
      </w:r>
      <w:r w:rsidR="0096342D" w:rsidRPr="00CC5A20">
        <w:rPr>
          <w:lang w:val="es-ES"/>
        </w:rPr>
        <w:t xml:space="preserve">. </w:t>
      </w:r>
      <w:r w:rsidR="00F67433" w:rsidRPr="00CC5A20">
        <w:rPr>
          <w:lang w:val="es-ES"/>
        </w:rPr>
        <w:br/>
      </w:r>
    </w:p>
    <w:p w14:paraId="5C75788A" w14:textId="6877F267" w:rsidR="003C035E" w:rsidRPr="00CC5A20" w:rsidRDefault="008600DD">
      <w:pPr>
        <w:pStyle w:val="ListParagraph"/>
        <w:numPr>
          <w:ilvl w:val="0"/>
          <w:numId w:val="2"/>
        </w:numPr>
        <w:rPr>
          <w:lang w:val="es-ES"/>
        </w:rPr>
      </w:pPr>
      <w:r w:rsidRPr="00CC5A20">
        <w:rPr>
          <w:b/>
          <w:bCs/>
          <w:lang w:val="es-ES"/>
        </w:rPr>
        <w:t xml:space="preserve">CSAVR </w:t>
      </w:r>
      <w:r w:rsidR="0096342D" w:rsidRPr="00CC5A20">
        <w:rPr>
          <w:b/>
          <w:bCs/>
          <w:lang w:val="es-ES"/>
        </w:rPr>
        <w:t xml:space="preserve">"Ajustar </w:t>
      </w:r>
      <w:r w:rsidRPr="00CC5A20">
        <w:rPr>
          <w:b/>
          <w:bCs/>
          <w:lang w:val="es-ES"/>
        </w:rPr>
        <w:t xml:space="preserve">todos los </w:t>
      </w:r>
      <w:r w:rsidR="00E60D0B" w:rsidRPr="00CC5A20">
        <w:rPr>
          <w:b/>
          <w:bCs/>
          <w:lang w:val="es-ES"/>
        </w:rPr>
        <w:t>modelos</w:t>
      </w:r>
      <w:r w:rsidR="0096342D" w:rsidRPr="00CC5A20">
        <w:rPr>
          <w:b/>
          <w:bCs/>
          <w:lang w:val="es-ES"/>
        </w:rPr>
        <w:t>"</w:t>
      </w:r>
      <w:r w:rsidRPr="00CC5A20">
        <w:rPr>
          <w:lang w:val="es-ES"/>
        </w:rPr>
        <w:t xml:space="preserve">. Un nuevo botón permite al usuario ajustar los </w:t>
      </w:r>
      <w:r w:rsidR="00917D3C">
        <w:rPr>
          <w:lang w:val="es-ES"/>
        </w:rPr>
        <w:t>seis</w:t>
      </w:r>
      <w:r w:rsidRPr="00CC5A20">
        <w:rPr>
          <w:lang w:val="es-ES"/>
        </w:rPr>
        <w:t xml:space="preserve"> modelos al mismo tiempo</w:t>
      </w:r>
      <w:r w:rsidR="007B1F6E" w:rsidRPr="007B1F6E">
        <w:rPr>
          <w:lang w:val="es-ES"/>
        </w:rPr>
        <w:t>, incluidas las dos nuevas opciones Spline.</w:t>
      </w:r>
      <w:r w:rsidR="00CB6CC7">
        <w:rPr>
          <w:lang w:val="es-ES"/>
        </w:rPr>
        <w:br/>
      </w:r>
    </w:p>
    <w:p w14:paraId="219E321B" w14:textId="21BBD0F2" w:rsidR="003C035E" w:rsidRPr="000E33B2" w:rsidRDefault="008600DD">
      <w:pPr>
        <w:pStyle w:val="ListParagraph"/>
        <w:numPr>
          <w:ilvl w:val="0"/>
          <w:numId w:val="2"/>
        </w:numPr>
        <w:rPr>
          <w:lang w:val="es-ES"/>
        </w:rPr>
      </w:pPr>
      <w:r w:rsidRPr="00CC5A20">
        <w:rPr>
          <w:b/>
          <w:bCs/>
          <w:lang w:val="es-ES"/>
        </w:rPr>
        <w:t>ECDC</w:t>
      </w:r>
      <w:r w:rsidRPr="00CC5A20">
        <w:rPr>
          <w:lang w:val="es-ES"/>
        </w:rPr>
        <w:t xml:space="preserve">. Spectrum </w:t>
      </w:r>
      <w:r w:rsidR="001B39A2" w:rsidRPr="00CC5A20">
        <w:rPr>
          <w:lang w:val="es-ES"/>
        </w:rPr>
        <w:t xml:space="preserve">ya puede </w:t>
      </w:r>
      <w:r w:rsidRPr="00CC5A20">
        <w:rPr>
          <w:lang w:val="es-ES"/>
        </w:rPr>
        <w:t xml:space="preserve">leer los resultados de la versión 2024 de la plataforma de modelización </w:t>
      </w:r>
      <w:r w:rsidRPr="000E33B2">
        <w:rPr>
          <w:lang w:val="es-ES"/>
        </w:rPr>
        <w:t xml:space="preserve">del </w:t>
      </w:r>
      <w:r w:rsidR="000E33B2" w:rsidRPr="000E33B2">
        <w:rPr>
          <w:lang w:val="es-ES"/>
        </w:rPr>
        <w:t>ECDC</w:t>
      </w:r>
      <w:r w:rsidRPr="000E33B2">
        <w:rPr>
          <w:lang w:val="es-ES"/>
        </w:rPr>
        <w:t xml:space="preserve">. </w:t>
      </w:r>
    </w:p>
    <w:p w14:paraId="37FF4A3C" w14:textId="77777777" w:rsidR="006448B0" w:rsidRPr="00CC5A20" w:rsidRDefault="006448B0" w:rsidP="005D4AC7">
      <w:pPr>
        <w:pStyle w:val="Heading2"/>
        <w:rPr>
          <w:lang w:val="es-ES"/>
        </w:rPr>
      </w:pPr>
    </w:p>
    <w:p w14:paraId="4CF505D5" w14:textId="77777777" w:rsidR="003C035E" w:rsidRDefault="005D4AC7">
      <w:pPr>
        <w:pStyle w:val="Heading2"/>
      </w:pPr>
      <w:proofErr w:type="spellStart"/>
      <w:r>
        <w:t>Resultados</w:t>
      </w:r>
      <w:proofErr w:type="spellEnd"/>
    </w:p>
    <w:p w14:paraId="6EED95EA" w14:textId="77777777" w:rsidR="003C035E" w:rsidRPr="00CC5A20" w:rsidRDefault="008600DD">
      <w:pPr>
        <w:pStyle w:val="ListParagraph"/>
        <w:numPr>
          <w:ilvl w:val="0"/>
          <w:numId w:val="2"/>
        </w:numPr>
        <w:rPr>
          <w:lang w:val="es-ES"/>
        </w:rPr>
      </w:pPr>
      <w:r w:rsidRPr="00CC5A20">
        <w:rPr>
          <w:b/>
          <w:bCs/>
          <w:lang w:val="es-ES"/>
        </w:rPr>
        <w:t>Cotrimoxazol para niños</w:t>
      </w:r>
      <w:r w:rsidRPr="00CC5A20">
        <w:rPr>
          <w:lang w:val="es-ES"/>
        </w:rPr>
        <w:t>. El cálculo de los efectos del cotrimoxazol sobre la mortalidad infantil por VIH se ha adelantado en la secuencia de proyección</w:t>
      </w:r>
      <w:r w:rsidR="00FF4E81" w:rsidRPr="00CC5A20">
        <w:rPr>
          <w:lang w:val="es-ES"/>
        </w:rPr>
        <w:t xml:space="preserve">, </w:t>
      </w:r>
      <w:r w:rsidRPr="00CC5A20">
        <w:rPr>
          <w:lang w:val="es-ES"/>
        </w:rPr>
        <w:t xml:space="preserve">para captar correctamente los efectos en el año de suministro del </w:t>
      </w:r>
      <w:r w:rsidR="00521F25" w:rsidRPr="00CC5A20">
        <w:rPr>
          <w:lang w:val="es-ES"/>
        </w:rPr>
        <w:t>cotrimoxazol</w:t>
      </w:r>
      <w:r w:rsidRPr="00CC5A20">
        <w:rPr>
          <w:lang w:val="es-ES"/>
        </w:rPr>
        <w:t xml:space="preserve">. Esto </w:t>
      </w:r>
      <w:r w:rsidR="00232F10" w:rsidRPr="00CC5A20">
        <w:rPr>
          <w:lang w:val="es-ES"/>
        </w:rPr>
        <w:t xml:space="preserve">supondrá un pequeño </w:t>
      </w:r>
      <w:r w:rsidRPr="00CC5A20">
        <w:rPr>
          <w:lang w:val="es-ES"/>
        </w:rPr>
        <w:t xml:space="preserve">cambio </w:t>
      </w:r>
      <w:r w:rsidR="00232F10" w:rsidRPr="00CC5A20">
        <w:rPr>
          <w:lang w:val="es-ES"/>
        </w:rPr>
        <w:t xml:space="preserve">en el </w:t>
      </w:r>
      <w:r w:rsidR="00DE1E04" w:rsidRPr="00CC5A20">
        <w:rPr>
          <w:lang w:val="es-ES"/>
        </w:rPr>
        <w:t>número</w:t>
      </w:r>
      <w:r w:rsidRPr="00CC5A20">
        <w:rPr>
          <w:lang w:val="es-ES"/>
        </w:rPr>
        <w:t xml:space="preserve"> estimado de muertes infantiles. </w:t>
      </w:r>
      <w:r w:rsidRPr="00CC5A20">
        <w:rPr>
          <w:lang w:val="es-ES"/>
        </w:rPr>
        <w:br/>
      </w:r>
    </w:p>
    <w:p w14:paraId="2B9D3489" w14:textId="26F2F308" w:rsidR="003C035E" w:rsidRPr="00CC5A20" w:rsidRDefault="00B217AB">
      <w:pPr>
        <w:pStyle w:val="ListParagraph"/>
        <w:numPr>
          <w:ilvl w:val="0"/>
          <w:numId w:val="2"/>
        </w:numPr>
        <w:rPr>
          <w:lang w:val="es-ES"/>
        </w:rPr>
      </w:pPr>
      <w:r w:rsidRPr="00CC5A20">
        <w:rPr>
          <w:b/>
          <w:bCs/>
          <w:lang w:val="es-ES"/>
        </w:rPr>
        <w:t>Poblaciones clave</w:t>
      </w:r>
      <w:r w:rsidRPr="00CC5A20">
        <w:rPr>
          <w:lang w:val="es-ES"/>
        </w:rPr>
        <w:t xml:space="preserve">. </w:t>
      </w:r>
      <w:r w:rsidR="00FF13F4" w:rsidRPr="00CC5A20">
        <w:rPr>
          <w:lang w:val="es-ES"/>
        </w:rPr>
        <w:t xml:space="preserve">Si ha completado </w:t>
      </w:r>
      <w:r w:rsidR="00CD66C1" w:rsidRPr="00CC5A20">
        <w:rPr>
          <w:lang w:val="es-ES"/>
        </w:rPr>
        <w:t xml:space="preserve">su </w:t>
      </w:r>
      <w:r w:rsidR="00FF13F4" w:rsidRPr="00CC5A20">
        <w:rPr>
          <w:lang w:val="es-ES"/>
        </w:rPr>
        <w:t xml:space="preserve">Cuaderno de trabajo de poblaciones clave </w:t>
      </w:r>
      <w:r w:rsidR="00E270E4" w:rsidRPr="00CC5A20">
        <w:rPr>
          <w:lang w:val="es-ES"/>
        </w:rPr>
        <w:t xml:space="preserve">e importado el archivo en Estadísticas del programa &gt; </w:t>
      </w:r>
      <w:r w:rsidR="006359BB" w:rsidRPr="00CC5A20">
        <w:rPr>
          <w:lang w:val="es-ES"/>
        </w:rPr>
        <w:t xml:space="preserve">Poblaciones clave, </w:t>
      </w:r>
      <w:r w:rsidR="005270A8" w:rsidRPr="00CC5A20">
        <w:rPr>
          <w:lang w:val="es-ES"/>
        </w:rPr>
        <w:t xml:space="preserve">estos datos </w:t>
      </w:r>
      <w:r w:rsidR="00BF1EB1" w:rsidRPr="00CC5A20">
        <w:rPr>
          <w:lang w:val="es-ES"/>
        </w:rPr>
        <w:t xml:space="preserve">y estimaciones también están disponibles </w:t>
      </w:r>
      <w:r w:rsidR="009D76E9" w:rsidRPr="00CC5A20">
        <w:rPr>
          <w:lang w:val="es-ES"/>
        </w:rPr>
        <w:t xml:space="preserve">en Resultados &gt; Adultos mayores de 15 años &gt; Estimaciones de poblaciones clave. </w:t>
      </w:r>
      <w:r w:rsidRPr="00CC5A20">
        <w:rPr>
          <w:lang w:val="es-ES"/>
        </w:rPr>
        <w:t xml:space="preserve">Los </w:t>
      </w:r>
      <w:r w:rsidR="00554849" w:rsidRPr="00CC5A20">
        <w:rPr>
          <w:lang w:val="es-ES"/>
        </w:rPr>
        <w:t xml:space="preserve">gráficos </w:t>
      </w:r>
      <w:r w:rsidRPr="00CC5A20">
        <w:rPr>
          <w:lang w:val="es-ES"/>
        </w:rPr>
        <w:t xml:space="preserve">muestran las nuevas infecciones, la prevalencia del VIH, la cobertura del tratamiento </w:t>
      </w:r>
      <w:r w:rsidR="005D6D87">
        <w:rPr>
          <w:lang w:val="es-ES"/>
        </w:rPr>
        <w:t>antirretroviral</w:t>
      </w:r>
      <w:r w:rsidRPr="00CC5A20">
        <w:rPr>
          <w:lang w:val="es-ES"/>
        </w:rPr>
        <w:t xml:space="preserve"> y las estimaciones del tamaño de la población. </w:t>
      </w:r>
      <w:r w:rsidRPr="00CC5A20">
        <w:rPr>
          <w:lang w:val="es-ES"/>
        </w:rPr>
        <w:br/>
      </w:r>
    </w:p>
    <w:p w14:paraId="48F52F6E" w14:textId="18E7D815" w:rsidR="003C035E" w:rsidRPr="00CC5A20" w:rsidRDefault="008600DD">
      <w:pPr>
        <w:pStyle w:val="ListParagraph"/>
        <w:numPr>
          <w:ilvl w:val="0"/>
          <w:numId w:val="2"/>
        </w:numPr>
        <w:rPr>
          <w:lang w:val="es-ES"/>
        </w:rPr>
      </w:pPr>
      <w:r w:rsidRPr="00CC5A20">
        <w:rPr>
          <w:b/>
          <w:bCs/>
          <w:lang w:val="es-ES"/>
        </w:rPr>
        <w:t>Exceso de mortalidad entre l</w:t>
      </w:r>
      <w:r w:rsidR="00106DBC">
        <w:rPr>
          <w:b/>
          <w:bCs/>
          <w:lang w:val="es-ES"/>
        </w:rPr>
        <w:t>o</w:t>
      </w:r>
      <w:r w:rsidRPr="00CC5A20">
        <w:rPr>
          <w:b/>
          <w:bCs/>
          <w:lang w:val="es-ES"/>
        </w:rPr>
        <w:t xml:space="preserve">s </w:t>
      </w:r>
      <w:r w:rsidR="00967FED">
        <w:rPr>
          <w:b/>
          <w:bCs/>
          <w:lang w:val="es-ES"/>
        </w:rPr>
        <w:t>UDI</w:t>
      </w:r>
      <w:r w:rsidRPr="00CC5A20">
        <w:rPr>
          <w:lang w:val="es-ES"/>
        </w:rPr>
        <w:t>. Spectrum incluye el exceso de mortalidad no relacionada con el SIDA entre l</w:t>
      </w:r>
      <w:r w:rsidR="00106DBC">
        <w:rPr>
          <w:lang w:val="es-ES"/>
        </w:rPr>
        <w:t>o</w:t>
      </w:r>
      <w:r w:rsidRPr="00CC5A20">
        <w:rPr>
          <w:lang w:val="es-ES"/>
        </w:rPr>
        <w:t xml:space="preserve">s </w:t>
      </w:r>
      <w:r w:rsidR="00106DBC">
        <w:rPr>
          <w:lang w:val="es-ES"/>
        </w:rPr>
        <w:t>UDI</w:t>
      </w:r>
      <w:r w:rsidRPr="00CC5A20">
        <w:rPr>
          <w:lang w:val="es-ES"/>
        </w:rPr>
        <w:t xml:space="preserve">. Ese cálculo se ha limitado ahora a los ficheros que utilizan el EPP </w:t>
      </w:r>
      <w:r w:rsidR="00B65688" w:rsidRPr="00CC5A20">
        <w:rPr>
          <w:lang w:val="es-ES"/>
        </w:rPr>
        <w:t>(</w:t>
      </w:r>
      <w:r w:rsidR="009B601D" w:rsidRPr="00CC5A20">
        <w:rPr>
          <w:lang w:val="es-ES"/>
        </w:rPr>
        <w:t xml:space="preserve">con </w:t>
      </w:r>
      <w:r w:rsidR="00B65688" w:rsidRPr="00CC5A20">
        <w:rPr>
          <w:lang w:val="es-ES"/>
        </w:rPr>
        <w:t xml:space="preserve">configuración de </w:t>
      </w:r>
      <w:r w:rsidR="009B601D" w:rsidRPr="00CC5A20">
        <w:rPr>
          <w:i/>
          <w:iCs/>
          <w:lang w:val="es-ES"/>
        </w:rPr>
        <w:t xml:space="preserve">epidemia </w:t>
      </w:r>
      <w:r w:rsidR="00B65688" w:rsidRPr="00CC5A20">
        <w:rPr>
          <w:i/>
          <w:iCs/>
          <w:lang w:val="es-ES"/>
        </w:rPr>
        <w:t>concentrada</w:t>
      </w:r>
      <w:r w:rsidR="00B65688" w:rsidRPr="00CC5A20">
        <w:rPr>
          <w:lang w:val="es-ES"/>
        </w:rPr>
        <w:t xml:space="preserve">) </w:t>
      </w:r>
      <w:r w:rsidRPr="00CC5A20">
        <w:rPr>
          <w:lang w:val="es-ES"/>
        </w:rPr>
        <w:t xml:space="preserve">o el AEM </w:t>
      </w:r>
      <w:r w:rsidR="00192661" w:rsidRPr="00CC5A20">
        <w:rPr>
          <w:lang w:val="es-ES"/>
        </w:rPr>
        <w:t>que incluyen una estimación para l</w:t>
      </w:r>
      <w:r w:rsidR="00106DBC">
        <w:rPr>
          <w:lang w:val="es-ES"/>
        </w:rPr>
        <w:t>o</w:t>
      </w:r>
      <w:r w:rsidR="00192661" w:rsidRPr="00CC5A20">
        <w:rPr>
          <w:lang w:val="es-ES"/>
        </w:rPr>
        <w:t xml:space="preserve">s </w:t>
      </w:r>
      <w:r w:rsidR="00106DBC">
        <w:rPr>
          <w:lang w:val="es-ES"/>
        </w:rPr>
        <w:t>UDI</w:t>
      </w:r>
      <w:r w:rsidRPr="00CC5A20">
        <w:rPr>
          <w:lang w:val="es-ES"/>
        </w:rPr>
        <w:t xml:space="preserve">. </w:t>
      </w:r>
      <w:r w:rsidRPr="00CC5A20">
        <w:rPr>
          <w:lang w:val="es-ES"/>
        </w:rPr>
        <w:br/>
      </w:r>
    </w:p>
    <w:p w14:paraId="012969A1" w14:textId="77777777" w:rsidR="003C035E" w:rsidRDefault="008600DD">
      <w:pPr>
        <w:pStyle w:val="Heading2"/>
      </w:pPr>
      <w:proofErr w:type="spellStart"/>
      <w:r>
        <w:t>Validación</w:t>
      </w:r>
      <w:proofErr w:type="spellEnd"/>
    </w:p>
    <w:p w14:paraId="2CC5F0B9" w14:textId="20E7404E" w:rsidR="003C035E" w:rsidRPr="00CC5A20" w:rsidRDefault="008600DD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CC5A20">
        <w:rPr>
          <w:b/>
          <w:bCs/>
          <w:lang w:val="es-ES"/>
        </w:rPr>
        <w:t xml:space="preserve">Niños previamente tratados. </w:t>
      </w:r>
      <w:r w:rsidR="00F70453" w:rsidRPr="00CC5A20">
        <w:rPr>
          <w:lang w:val="es-ES"/>
        </w:rPr>
        <w:t>Una nueva pantalla de validación en '</w:t>
      </w:r>
      <w:r w:rsidR="00127206">
        <w:rPr>
          <w:lang w:val="es-ES"/>
        </w:rPr>
        <w:t>T</w:t>
      </w:r>
      <w:r w:rsidR="00F70453" w:rsidRPr="00CC5A20">
        <w:rPr>
          <w:lang w:val="es-ES"/>
        </w:rPr>
        <w:t>A</w:t>
      </w:r>
      <w:r w:rsidR="00127206">
        <w:rPr>
          <w:lang w:val="es-ES"/>
        </w:rPr>
        <w:t>R</w:t>
      </w:r>
      <w:r w:rsidR="00F70453" w:rsidRPr="00CC5A20">
        <w:rPr>
          <w:lang w:val="es-ES"/>
        </w:rPr>
        <w:t xml:space="preserve">' </w:t>
      </w:r>
      <w:r w:rsidRPr="00CC5A20">
        <w:rPr>
          <w:lang w:val="es-ES"/>
        </w:rPr>
        <w:t xml:space="preserve">muestra la tendencia estimada en niños que estuvieron previamente en </w:t>
      </w:r>
      <w:r w:rsidR="00127206">
        <w:rPr>
          <w:lang w:val="es-ES"/>
        </w:rPr>
        <w:t>T</w:t>
      </w:r>
      <w:r w:rsidRPr="00CC5A20">
        <w:rPr>
          <w:lang w:val="es-ES"/>
        </w:rPr>
        <w:t xml:space="preserve">AR pero que no están actualmente en </w:t>
      </w:r>
      <w:r w:rsidR="00127206">
        <w:rPr>
          <w:lang w:val="es-ES"/>
        </w:rPr>
        <w:t>T</w:t>
      </w:r>
      <w:r w:rsidRPr="00CC5A20">
        <w:rPr>
          <w:lang w:val="es-ES"/>
        </w:rPr>
        <w:t xml:space="preserve">AR. Esta pantalla es similar a la de los adultos. Por defecto, la pantalla utilizará las tasas de interrupción del </w:t>
      </w:r>
      <w:r w:rsidRPr="00CC5A20">
        <w:rPr>
          <w:lang w:val="es-ES"/>
        </w:rPr>
        <w:lastRenderedPageBreak/>
        <w:t xml:space="preserve">tratamiento introducidas en el editor de datos del programa (Estadísticas del programa &gt; Tratamiento infantil), pero el usuario puede introducir una tasa diferente para explorar la sensibilidad de los resultados a esta tasa. </w:t>
      </w:r>
      <w:r w:rsidR="00D10E20" w:rsidRPr="00CC5A20">
        <w:rPr>
          <w:lang w:val="es-ES"/>
        </w:rPr>
        <w:br/>
      </w:r>
    </w:p>
    <w:p w14:paraId="40B0BBA1" w14:textId="2CF6AF4B" w:rsidR="003C035E" w:rsidRPr="00D948B2" w:rsidRDefault="008600DD">
      <w:pPr>
        <w:pStyle w:val="ListParagraph"/>
        <w:numPr>
          <w:ilvl w:val="0"/>
          <w:numId w:val="2"/>
        </w:numPr>
        <w:rPr>
          <w:lang w:val="es-PE"/>
        </w:rPr>
      </w:pPr>
      <w:r w:rsidRPr="00CC5A20">
        <w:rPr>
          <w:b/>
          <w:bCs/>
          <w:lang w:val="es-ES"/>
        </w:rPr>
        <w:t>Cobertura del TAR</w:t>
      </w:r>
      <w:r w:rsidR="00F87224" w:rsidRPr="00CC5A20">
        <w:rPr>
          <w:b/>
          <w:bCs/>
          <w:lang w:val="es-ES"/>
        </w:rPr>
        <w:t xml:space="preserve">, </w:t>
      </w:r>
      <w:r w:rsidR="001206A6" w:rsidRPr="00CC5A20">
        <w:rPr>
          <w:b/>
          <w:bCs/>
          <w:lang w:val="es-ES"/>
        </w:rPr>
        <w:t xml:space="preserve">a partir del </w:t>
      </w:r>
      <w:r w:rsidR="00F87224" w:rsidRPr="00CC5A20">
        <w:rPr>
          <w:b/>
          <w:bCs/>
          <w:lang w:val="es-ES"/>
        </w:rPr>
        <w:t xml:space="preserve">programa </w:t>
      </w:r>
      <w:r w:rsidR="00841099" w:rsidRPr="00CC5A20">
        <w:rPr>
          <w:b/>
          <w:bCs/>
          <w:lang w:val="es-ES"/>
        </w:rPr>
        <w:t xml:space="preserve">y de </w:t>
      </w:r>
      <w:r w:rsidR="00F87224" w:rsidRPr="00CC5A20">
        <w:rPr>
          <w:b/>
          <w:bCs/>
          <w:lang w:val="es-ES"/>
        </w:rPr>
        <w:t>la encuesta</w:t>
      </w:r>
      <w:r w:rsidR="005B74C5" w:rsidRPr="00CC5A20">
        <w:rPr>
          <w:lang w:val="es-ES"/>
        </w:rPr>
        <w:t xml:space="preserve">. Los nuevos </w:t>
      </w:r>
      <w:r w:rsidR="008057E2" w:rsidRPr="00CC5A20">
        <w:rPr>
          <w:lang w:val="es-ES"/>
        </w:rPr>
        <w:t xml:space="preserve">gráficos </w:t>
      </w:r>
      <w:r w:rsidR="005B74C5" w:rsidRPr="00CC5A20">
        <w:rPr>
          <w:lang w:val="es-ES"/>
        </w:rPr>
        <w:t xml:space="preserve">comparan </w:t>
      </w:r>
      <w:r w:rsidR="00271CBE" w:rsidRPr="00CC5A20">
        <w:rPr>
          <w:lang w:val="es-ES"/>
        </w:rPr>
        <w:t xml:space="preserve">la cobertura de </w:t>
      </w:r>
      <w:r w:rsidR="005B74C5" w:rsidRPr="00CC5A20">
        <w:rPr>
          <w:lang w:val="es-ES"/>
        </w:rPr>
        <w:t xml:space="preserve">las personas que reciben tratamiento </w:t>
      </w:r>
      <w:r w:rsidR="005D6D87">
        <w:rPr>
          <w:lang w:val="es-ES"/>
        </w:rPr>
        <w:t>antirretroviral</w:t>
      </w:r>
      <w:r w:rsidR="005B74C5" w:rsidRPr="00CC5A20">
        <w:rPr>
          <w:lang w:val="es-ES"/>
        </w:rPr>
        <w:t xml:space="preserve"> </w:t>
      </w:r>
      <w:r w:rsidR="002C2556" w:rsidRPr="00CC5A20">
        <w:rPr>
          <w:lang w:val="es-ES"/>
        </w:rPr>
        <w:t xml:space="preserve">entre los </w:t>
      </w:r>
      <w:r w:rsidR="005B74C5" w:rsidRPr="00CC5A20">
        <w:rPr>
          <w:lang w:val="es-ES"/>
        </w:rPr>
        <w:t xml:space="preserve">datos del programa (introducidos en Estadísticas del programa &gt; Tratamiento </w:t>
      </w:r>
      <w:r w:rsidR="005D6D87">
        <w:rPr>
          <w:lang w:val="es-ES"/>
        </w:rPr>
        <w:t>antirretroviral</w:t>
      </w:r>
      <w:r w:rsidR="005B74C5" w:rsidRPr="00CC5A20">
        <w:rPr>
          <w:lang w:val="es-ES"/>
        </w:rPr>
        <w:t xml:space="preserve"> para adultos) </w:t>
      </w:r>
      <w:r w:rsidR="002C2556" w:rsidRPr="00CC5A20">
        <w:rPr>
          <w:lang w:val="es-ES"/>
        </w:rPr>
        <w:t xml:space="preserve">y las estimaciones </w:t>
      </w:r>
      <w:r w:rsidR="005B74C5" w:rsidRPr="00CC5A20">
        <w:rPr>
          <w:lang w:val="es-ES"/>
        </w:rPr>
        <w:t xml:space="preserve">basadas en una encuesta nacional (PHIA o </w:t>
      </w:r>
      <w:r w:rsidR="00A34DA0">
        <w:rPr>
          <w:lang w:val="es-ES"/>
        </w:rPr>
        <w:t>E</w:t>
      </w:r>
      <w:r w:rsidR="005F7C9D">
        <w:rPr>
          <w:lang w:val="es-ES"/>
        </w:rPr>
        <w:t>D</w:t>
      </w:r>
      <w:r w:rsidR="005B74C5" w:rsidRPr="00CC5A20">
        <w:rPr>
          <w:lang w:val="es-ES"/>
        </w:rPr>
        <w:t xml:space="preserve">S). Spectrum </w:t>
      </w:r>
      <w:r w:rsidR="002C2556" w:rsidRPr="00CC5A20">
        <w:rPr>
          <w:lang w:val="es-ES"/>
        </w:rPr>
        <w:t xml:space="preserve">obtiene </w:t>
      </w:r>
      <w:r w:rsidR="005B74C5" w:rsidRPr="00CC5A20">
        <w:rPr>
          <w:lang w:val="es-ES"/>
        </w:rPr>
        <w:t xml:space="preserve">la estimación de </w:t>
      </w:r>
      <w:r w:rsidR="00271CBE" w:rsidRPr="00CC5A20">
        <w:rPr>
          <w:lang w:val="es-ES"/>
        </w:rPr>
        <w:t xml:space="preserve">cobertura </w:t>
      </w:r>
      <w:r w:rsidR="002C2556" w:rsidRPr="00CC5A20">
        <w:rPr>
          <w:lang w:val="es-ES"/>
        </w:rPr>
        <w:t xml:space="preserve">basada en la encuesta </w:t>
      </w:r>
      <w:r w:rsidR="005B74C5" w:rsidRPr="00CC5A20">
        <w:rPr>
          <w:lang w:val="es-ES"/>
        </w:rPr>
        <w:t xml:space="preserve">multiplicando la proporción de personas que reciben tratamiento </w:t>
      </w:r>
      <w:r w:rsidR="005D6D87">
        <w:rPr>
          <w:lang w:val="es-ES"/>
        </w:rPr>
        <w:t>antirretroviral</w:t>
      </w:r>
      <w:r w:rsidR="005B74C5" w:rsidRPr="00CC5A20">
        <w:rPr>
          <w:lang w:val="es-ES"/>
        </w:rPr>
        <w:t xml:space="preserve"> de la encuesta por </w:t>
      </w:r>
      <w:r w:rsidR="002C2556" w:rsidRPr="00CC5A20">
        <w:rPr>
          <w:lang w:val="es-ES"/>
        </w:rPr>
        <w:t xml:space="preserve">el </w:t>
      </w:r>
      <w:r w:rsidR="005B74C5" w:rsidRPr="00CC5A20">
        <w:rPr>
          <w:lang w:val="es-ES"/>
        </w:rPr>
        <w:t xml:space="preserve">número </w:t>
      </w:r>
      <w:r w:rsidR="002C2556" w:rsidRPr="00CC5A20">
        <w:rPr>
          <w:lang w:val="es-ES"/>
        </w:rPr>
        <w:t xml:space="preserve">estimado de </w:t>
      </w:r>
      <w:r w:rsidR="005B74C5" w:rsidRPr="00CC5A20">
        <w:rPr>
          <w:lang w:val="es-ES"/>
        </w:rPr>
        <w:t xml:space="preserve">personas </w:t>
      </w:r>
      <w:r w:rsidR="007B6884" w:rsidRPr="00CC5A20">
        <w:rPr>
          <w:lang w:val="es-ES"/>
        </w:rPr>
        <w:t xml:space="preserve">que viven con el VIH </w:t>
      </w:r>
      <w:r w:rsidR="005B74C5" w:rsidRPr="00CC5A20">
        <w:rPr>
          <w:lang w:val="es-ES"/>
        </w:rPr>
        <w:t>por edad y sexo.</w:t>
      </w:r>
      <w:r w:rsidR="001077A7" w:rsidRPr="00CC5A20">
        <w:rPr>
          <w:lang w:val="es-ES"/>
        </w:rPr>
        <w:t xml:space="preserve"> </w:t>
      </w:r>
      <w:r w:rsidR="001077A7" w:rsidRPr="00D948B2">
        <w:rPr>
          <w:lang w:val="es-PE"/>
        </w:rPr>
        <w:t>Para esta validación se dispone de tres visualizaciones:</w:t>
      </w:r>
    </w:p>
    <w:p w14:paraId="571AED56" w14:textId="77777777" w:rsidR="003C035E" w:rsidRPr="00CC5A20" w:rsidRDefault="008600DD">
      <w:pPr>
        <w:pStyle w:val="ListParagraph"/>
        <w:numPr>
          <w:ilvl w:val="1"/>
          <w:numId w:val="6"/>
        </w:numPr>
        <w:rPr>
          <w:lang w:val="es-ES"/>
        </w:rPr>
      </w:pPr>
      <w:r w:rsidRPr="00CC5A20">
        <w:rPr>
          <w:lang w:val="es-ES"/>
        </w:rPr>
        <w:t xml:space="preserve">Cobertura de TAR por edad </w:t>
      </w:r>
      <w:r w:rsidR="00883BF1" w:rsidRPr="00CC5A20">
        <w:rPr>
          <w:lang w:val="es-ES"/>
        </w:rPr>
        <w:t>(para 1 año de encuesta)</w:t>
      </w:r>
    </w:p>
    <w:p w14:paraId="3F0FD64E" w14:textId="77777777" w:rsidR="003C035E" w:rsidRPr="00CC5A20" w:rsidRDefault="008600DD">
      <w:pPr>
        <w:pStyle w:val="ListParagraph"/>
        <w:numPr>
          <w:ilvl w:val="1"/>
          <w:numId w:val="6"/>
        </w:numPr>
        <w:rPr>
          <w:lang w:val="es-ES"/>
        </w:rPr>
      </w:pPr>
      <w:r w:rsidRPr="00CC5A20">
        <w:rPr>
          <w:lang w:val="es-ES"/>
        </w:rPr>
        <w:t xml:space="preserve">Cobertura del TAR a lo largo del tiempo </w:t>
      </w:r>
      <w:r w:rsidR="00883BF1" w:rsidRPr="00CC5A20">
        <w:rPr>
          <w:lang w:val="es-ES"/>
        </w:rPr>
        <w:t>(mostrando todas las encuestas</w:t>
      </w:r>
      <w:r w:rsidR="002220CB" w:rsidRPr="00CC5A20">
        <w:rPr>
          <w:lang w:val="es-ES"/>
        </w:rPr>
        <w:t>, si midieron la cobertura para el grupo de edad seleccionado).</w:t>
      </w:r>
    </w:p>
    <w:p w14:paraId="5D9D54E9" w14:textId="7C54FB69" w:rsidR="003C035E" w:rsidRPr="00CC5A20" w:rsidRDefault="008600DD">
      <w:pPr>
        <w:pStyle w:val="ListParagraph"/>
        <w:numPr>
          <w:ilvl w:val="1"/>
          <w:numId w:val="6"/>
        </w:numPr>
        <w:rPr>
          <w:lang w:val="es-ES"/>
        </w:rPr>
      </w:pPr>
      <w:r w:rsidRPr="00CC5A20">
        <w:rPr>
          <w:lang w:val="es-ES"/>
        </w:rPr>
        <w:t xml:space="preserve">Número de personas en tratamiento </w:t>
      </w:r>
      <w:r w:rsidR="005D6D87">
        <w:rPr>
          <w:lang w:val="es-ES"/>
        </w:rPr>
        <w:t>antirretroviral</w:t>
      </w:r>
      <w:r w:rsidRPr="00CC5A20">
        <w:rPr>
          <w:lang w:val="es-ES"/>
        </w:rPr>
        <w:t xml:space="preserve"> </w:t>
      </w:r>
      <w:r w:rsidR="002220CB" w:rsidRPr="00CC5A20">
        <w:rPr>
          <w:lang w:val="es-ES"/>
        </w:rPr>
        <w:t>(durante 1 año de encuesta).</w:t>
      </w:r>
      <w:r w:rsidR="006F5967" w:rsidRPr="00CC5A20">
        <w:rPr>
          <w:lang w:val="es-ES"/>
        </w:rPr>
        <w:br/>
      </w:r>
    </w:p>
    <w:p w14:paraId="77CF6208" w14:textId="633DE92C" w:rsidR="003C035E" w:rsidRPr="00CC5A20" w:rsidRDefault="008600DD">
      <w:pPr>
        <w:pStyle w:val="ListParagraph"/>
        <w:numPr>
          <w:ilvl w:val="0"/>
          <w:numId w:val="2"/>
        </w:numPr>
        <w:rPr>
          <w:lang w:val="es-ES"/>
        </w:rPr>
      </w:pPr>
      <w:r w:rsidRPr="00CC5A20">
        <w:rPr>
          <w:b/>
          <w:bCs/>
          <w:lang w:val="es-ES"/>
        </w:rPr>
        <w:t xml:space="preserve">Cobertura de terapia </w:t>
      </w:r>
      <w:r w:rsidR="005D6D87">
        <w:rPr>
          <w:b/>
          <w:bCs/>
          <w:lang w:val="es-ES"/>
        </w:rPr>
        <w:t>antirretroviral</w:t>
      </w:r>
      <w:r w:rsidRPr="00CC5A20">
        <w:rPr>
          <w:b/>
          <w:bCs/>
          <w:lang w:val="es-ES"/>
        </w:rPr>
        <w:t xml:space="preserve"> </w:t>
      </w:r>
      <w:r w:rsidR="006900AA" w:rsidRPr="00CC5A20">
        <w:rPr>
          <w:b/>
          <w:bCs/>
          <w:lang w:val="es-ES"/>
        </w:rPr>
        <w:t xml:space="preserve">a partir de datos del programa frente a </w:t>
      </w:r>
      <w:r w:rsidR="00C9627E" w:rsidRPr="00CC5A20">
        <w:rPr>
          <w:b/>
          <w:bCs/>
          <w:lang w:val="es-ES"/>
        </w:rPr>
        <w:t xml:space="preserve">datos de </w:t>
      </w:r>
      <w:r w:rsidR="0007006E" w:rsidRPr="00CC5A20">
        <w:rPr>
          <w:b/>
          <w:bCs/>
          <w:lang w:val="es-ES"/>
        </w:rPr>
        <w:t>los centros de atención prenatal</w:t>
      </w:r>
      <w:r w:rsidRPr="00CC5A20">
        <w:rPr>
          <w:lang w:val="es-ES"/>
        </w:rPr>
        <w:t xml:space="preserve">. Una nueva visualización compara la cobertura de TAR </w:t>
      </w:r>
      <w:r w:rsidR="007B48EC" w:rsidRPr="00CC5A20">
        <w:rPr>
          <w:lang w:val="es-ES"/>
        </w:rPr>
        <w:t xml:space="preserve">para adultos </w:t>
      </w:r>
      <w:r w:rsidRPr="00CC5A20">
        <w:rPr>
          <w:lang w:val="es-ES"/>
        </w:rPr>
        <w:t xml:space="preserve">estimada </w:t>
      </w:r>
      <w:r w:rsidR="007B48EC" w:rsidRPr="00CC5A20">
        <w:rPr>
          <w:lang w:val="es-ES"/>
        </w:rPr>
        <w:t xml:space="preserve">por Spectrum </w:t>
      </w:r>
      <w:r w:rsidRPr="00CC5A20">
        <w:rPr>
          <w:lang w:val="es-ES"/>
        </w:rPr>
        <w:t xml:space="preserve">a partir de datos del programa con una predicción basada en la proporción de mujeres embarazadas seropositivas que ya recibían TAR </w:t>
      </w:r>
      <w:r w:rsidR="00ED1551" w:rsidRPr="00CC5A20">
        <w:rPr>
          <w:lang w:val="es-ES"/>
        </w:rPr>
        <w:t xml:space="preserve">antes del embarazo actual </w:t>
      </w:r>
      <w:r w:rsidR="007B48EC" w:rsidRPr="00CC5A20">
        <w:rPr>
          <w:lang w:val="es-ES"/>
        </w:rPr>
        <w:t>(introducida en Estadísticas del programa &gt; PTMI)</w:t>
      </w:r>
      <w:r w:rsidRPr="00CC5A20">
        <w:rPr>
          <w:lang w:val="es-ES"/>
        </w:rPr>
        <w:t xml:space="preserve">. </w:t>
      </w:r>
      <w:r w:rsidRPr="00CC5A20">
        <w:rPr>
          <w:lang w:val="es-ES"/>
        </w:rPr>
        <w:br/>
      </w:r>
      <w:r w:rsidR="00547B39" w:rsidRPr="00CC5A20">
        <w:rPr>
          <w:lang w:val="es-ES"/>
        </w:rPr>
        <w:t xml:space="preserve">Esta </w:t>
      </w:r>
      <w:r w:rsidR="00B127AA" w:rsidRPr="00CC5A20">
        <w:rPr>
          <w:lang w:val="es-ES"/>
        </w:rPr>
        <w:t xml:space="preserve">validación </w:t>
      </w:r>
      <w:r w:rsidR="00547B39" w:rsidRPr="00CC5A20">
        <w:rPr>
          <w:lang w:val="es-ES"/>
        </w:rPr>
        <w:t xml:space="preserve">se recomienda para los </w:t>
      </w:r>
      <w:r w:rsidR="009E3988" w:rsidRPr="00CC5A20">
        <w:rPr>
          <w:lang w:val="es-ES"/>
        </w:rPr>
        <w:t xml:space="preserve">países del África subsahariana. </w:t>
      </w:r>
      <w:r w:rsidRPr="00CC5A20">
        <w:rPr>
          <w:lang w:val="es-ES"/>
        </w:rPr>
        <w:t>Si la predicción y la estimación basada en el programa no se aproximan</w:t>
      </w:r>
      <w:r w:rsidR="007B48EC" w:rsidRPr="00CC5A20">
        <w:rPr>
          <w:lang w:val="es-ES"/>
        </w:rPr>
        <w:t xml:space="preserve">, </w:t>
      </w:r>
      <w:r w:rsidRPr="00CC5A20">
        <w:rPr>
          <w:lang w:val="es-ES"/>
        </w:rPr>
        <w:t xml:space="preserve">puede indicar </w:t>
      </w:r>
      <w:r w:rsidR="006448B0" w:rsidRPr="00CC5A20">
        <w:rPr>
          <w:lang w:val="es-ES"/>
        </w:rPr>
        <w:t xml:space="preserve">problemas con una de las fuentes. </w:t>
      </w:r>
    </w:p>
    <w:sectPr w:rsidR="003C035E" w:rsidRPr="00CC5A2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F79B" w14:textId="77777777" w:rsidR="00477B98" w:rsidRDefault="00477B98" w:rsidP="00366C1E">
      <w:pPr>
        <w:spacing w:after="0" w:line="240" w:lineRule="auto"/>
      </w:pPr>
      <w:r>
        <w:separator/>
      </w:r>
    </w:p>
  </w:endnote>
  <w:endnote w:type="continuationSeparator" w:id="0">
    <w:p w14:paraId="1FE8AA10" w14:textId="77777777" w:rsidR="00477B98" w:rsidRDefault="00477B98" w:rsidP="00366C1E">
      <w:pPr>
        <w:spacing w:after="0" w:line="240" w:lineRule="auto"/>
      </w:pPr>
      <w:r>
        <w:continuationSeparator/>
      </w:r>
    </w:p>
  </w:endnote>
  <w:endnote w:type="continuationNotice" w:id="1">
    <w:p w14:paraId="5A5C0ACE" w14:textId="77777777" w:rsidR="00477B98" w:rsidRDefault="00477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901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7402E" w14:textId="77777777" w:rsidR="003C035E" w:rsidRDefault="008600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F33BF" w14:textId="77777777" w:rsidR="00366C1E" w:rsidRDefault="00366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F173" w14:textId="77777777" w:rsidR="00477B98" w:rsidRDefault="00477B98" w:rsidP="00366C1E">
      <w:pPr>
        <w:spacing w:after="0" w:line="240" w:lineRule="auto"/>
      </w:pPr>
      <w:r>
        <w:separator/>
      </w:r>
    </w:p>
  </w:footnote>
  <w:footnote w:type="continuationSeparator" w:id="0">
    <w:p w14:paraId="08A60E78" w14:textId="77777777" w:rsidR="00477B98" w:rsidRDefault="00477B98" w:rsidP="00366C1E">
      <w:pPr>
        <w:spacing w:after="0" w:line="240" w:lineRule="auto"/>
      </w:pPr>
      <w:r>
        <w:continuationSeparator/>
      </w:r>
    </w:p>
  </w:footnote>
  <w:footnote w:type="continuationNotice" w:id="1">
    <w:p w14:paraId="58EE8950" w14:textId="77777777" w:rsidR="00477B98" w:rsidRDefault="00477B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B75"/>
    <w:multiLevelType w:val="hybridMultilevel"/>
    <w:tmpl w:val="28440E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D0444"/>
    <w:multiLevelType w:val="hybridMultilevel"/>
    <w:tmpl w:val="9B3CE272"/>
    <w:lvl w:ilvl="0" w:tplc="B49C5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140F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1D219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FE297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144A4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00E4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E681A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556D0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53674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3BAB5574"/>
    <w:multiLevelType w:val="hybridMultilevel"/>
    <w:tmpl w:val="C07851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2C3BDB"/>
    <w:multiLevelType w:val="hybridMultilevel"/>
    <w:tmpl w:val="470C1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B74D6"/>
    <w:multiLevelType w:val="hybridMultilevel"/>
    <w:tmpl w:val="23C0FBCA"/>
    <w:lvl w:ilvl="0" w:tplc="03D088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622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B92AF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A52C9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AA63A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CB660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A9C16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4031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3AC90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68710CFF"/>
    <w:multiLevelType w:val="hybridMultilevel"/>
    <w:tmpl w:val="A0A0CADC"/>
    <w:lvl w:ilvl="0" w:tplc="E6D416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C6FB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7323F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A9062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7DEDE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1FADF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5B6A8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2A2F9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8CC92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6BF01A41"/>
    <w:multiLevelType w:val="hybridMultilevel"/>
    <w:tmpl w:val="85BE714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1F5ADD"/>
    <w:multiLevelType w:val="hybridMultilevel"/>
    <w:tmpl w:val="1E26E97A"/>
    <w:lvl w:ilvl="0" w:tplc="78B056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6801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580E3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6B002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5008A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22A1A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976A4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ED06C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260C2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55263542">
    <w:abstractNumId w:val="3"/>
  </w:num>
  <w:num w:numId="2" w16cid:durableId="1561358925">
    <w:abstractNumId w:val="0"/>
  </w:num>
  <w:num w:numId="3" w16cid:durableId="1632976660">
    <w:abstractNumId w:val="1"/>
  </w:num>
  <w:num w:numId="4" w16cid:durableId="1162503646">
    <w:abstractNumId w:val="5"/>
  </w:num>
  <w:num w:numId="5" w16cid:durableId="2066946782">
    <w:abstractNumId w:val="2"/>
  </w:num>
  <w:num w:numId="6" w16cid:durableId="1753889320">
    <w:abstractNumId w:val="6"/>
  </w:num>
  <w:num w:numId="7" w16cid:durableId="409155191">
    <w:abstractNumId w:val="7"/>
  </w:num>
  <w:num w:numId="8" w16cid:durableId="1036925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14"/>
    <w:rsid w:val="00007376"/>
    <w:rsid w:val="000109C7"/>
    <w:rsid w:val="00030DB0"/>
    <w:rsid w:val="000311A2"/>
    <w:rsid w:val="00037BC9"/>
    <w:rsid w:val="0004444C"/>
    <w:rsid w:val="00045E98"/>
    <w:rsid w:val="00047B2D"/>
    <w:rsid w:val="000647BA"/>
    <w:rsid w:val="0007006E"/>
    <w:rsid w:val="000A6A56"/>
    <w:rsid w:val="000D746E"/>
    <w:rsid w:val="000E252C"/>
    <w:rsid w:val="000E33B2"/>
    <w:rsid w:val="000E45D3"/>
    <w:rsid w:val="001007D1"/>
    <w:rsid w:val="00106DBC"/>
    <w:rsid w:val="001077A7"/>
    <w:rsid w:val="00116B8F"/>
    <w:rsid w:val="001206A6"/>
    <w:rsid w:val="00127206"/>
    <w:rsid w:val="001378B6"/>
    <w:rsid w:val="00157FE3"/>
    <w:rsid w:val="00160E05"/>
    <w:rsid w:val="00192661"/>
    <w:rsid w:val="00196F4E"/>
    <w:rsid w:val="00197A1B"/>
    <w:rsid w:val="001B22AB"/>
    <w:rsid w:val="001B39A2"/>
    <w:rsid w:val="001C3234"/>
    <w:rsid w:val="001D2419"/>
    <w:rsid w:val="001D78C6"/>
    <w:rsid w:val="001E146F"/>
    <w:rsid w:val="001F29D0"/>
    <w:rsid w:val="001F4ACB"/>
    <w:rsid w:val="001F7A8E"/>
    <w:rsid w:val="002205E6"/>
    <w:rsid w:val="002220CB"/>
    <w:rsid w:val="00223456"/>
    <w:rsid w:val="002311B6"/>
    <w:rsid w:val="00232F10"/>
    <w:rsid w:val="00234688"/>
    <w:rsid w:val="00241F45"/>
    <w:rsid w:val="0024610D"/>
    <w:rsid w:val="002556E8"/>
    <w:rsid w:val="00267084"/>
    <w:rsid w:val="00271CBE"/>
    <w:rsid w:val="00283553"/>
    <w:rsid w:val="00285A31"/>
    <w:rsid w:val="00295CC0"/>
    <w:rsid w:val="002A2755"/>
    <w:rsid w:val="002C2556"/>
    <w:rsid w:val="002C2AFE"/>
    <w:rsid w:val="002C66ED"/>
    <w:rsid w:val="002D0BBC"/>
    <w:rsid w:val="002D2998"/>
    <w:rsid w:val="002D6D92"/>
    <w:rsid w:val="002E66F3"/>
    <w:rsid w:val="002F2901"/>
    <w:rsid w:val="003063C9"/>
    <w:rsid w:val="00324AC7"/>
    <w:rsid w:val="00325D73"/>
    <w:rsid w:val="00361A89"/>
    <w:rsid w:val="00366C1E"/>
    <w:rsid w:val="00372318"/>
    <w:rsid w:val="00373608"/>
    <w:rsid w:val="003743CA"/>
    <w:rsid w:val="00384608"/>
    <w:rsid w:val="003A76DD"/>
    <w:rsid w:val="003B6F60"/>
    <w:rsid w:val="003C035E"/>
    <w:rsid w:val="003C432C"/>
    <w:rsid w:val="003D1360"/>
    <w:rsid w:val="00415273"/>
    <w:rsid w:val="00415683"/>
    <w:rsid w:val="00415E67"/>
    <w:rsid w:val="00427BDA"/>
    <w:rsid w:val="00451256"/>
    <w:rsid w:val="00456F64"/>
    <w:rsid w:val="00462343"/>
    <w:rsid w:val="00463ED7"/>
    <w:rsid w:val="0046747A"/>
    <w:rsid w:val="00476243"/>
    <w:rsid w:val="00477B98"/>
    <w:rsid w:val="00483E0F"/>
    <w:rsid w:val="004943F9"/>
    <w:rsid w:val="00494AB9"/>
    <w:rsid w:val="004B146A"/>
    <w:rsid w:val="004B1CE2"/>
    <w:rsid w:val="004B3105"/>
    <w:rsid w:val="004B4940"/>
    <w:rsid w:val="004E364F"/>
    <w:rsid w:val="00521F25"/>
    <w:rsid w:val="005270A8"/>
    <w:rsid w:val="0053158B"/>
    <w:rsid w:val="00535BAF"/>
    <w:rsid w:val="00545ADD"/>
    <w:rsid w:val="00547B39"/>
    <w:rsid w:val="00554849"/>
    <w:rsid w:val="0055565F"/>
    <w:rsid w:val="00562166"/>
    <w:rsid w:val="00567148"/>
    <w:rsid w:val="00584C9C"/>
    <w:rsid w:val="00585BD1"/>
    <w:rsid w:val="005B4C19"/>
    <w:rsid w:val="005B74C5"/>
    <w:rsid w:val="005D4AC7"/>
    <w:rsid w:val="005D5A7B"/>
    <w:rsid w:val="005D6BB3"/>
    <w:rsid w:val="005D6D87"/>
    <w:rsid w:val="005E1F08"/>
    <w:rsid w:val="005F107F"/>
    <w:rsid w:val="005F2C2A"/>
    <w:rsid w:val="005F36BD"/>
    <w:rsid w:val="005F7C9D"/>
    <w:rsid w:val="0061209B"/>
    <w:rsid w:val="006154C7"/>
    <w:rsid w:val="0061587A"/>
    <w:rsid w:val="006240D0"/>
    <w:rsid w:val="00627331"/>
    <w:rsid w:val="006359BB"/>
    <w:rsid w:val="00641A1B"/>
    <w:rsid w:val="006448B0"/>
    <w:rsid w:val="00647D8E"/>
    <w:rsid w:val="00656E11"/>
    <w:rsid w:val="006834A2"/>
    <w:rsid w:val="006900AA"/>
    <w:rsid w:val="006A6408"/>
    <w:rsid w:val="006B1066"/>
    <w:rsid w:val="006B1607"/>
    <w:rsid w:val="006B6194"/>
    <w:rsid w:val="006D2BB3"/>
    <w:rsid w:val="006D4632"/>
    <w:rsid w:val="006E2092"/>
    <w:rsid w:val="006F44A4"/>
    <w:rsid w:val="006F48FC"/>
    <w:rsid w:val="006F5967"/>
    <w:rsid w:val="0070156D"/>
    <w:rsid w:val="00716A8B"/>
    <w:rsid w:val="00716FE4"/>
    <w:rsid w:val="007368D2"/>
    <w:rsid w:val="00740BA0"/>
    <w:rsid w:val="007638BE"/>
    <w:rsid w:val="0076758C"/>
    <w:rsid w:val="007715AC"/>
    <w:rsid w:val="00775BD6"/>
    <w:rsid w:val="00780214"/>
    <w:rsid w:val="00792234"/>
    <w:rsid w:val="00794A3A"/>
    <w:rsid w:val="007A2536"/>
    <w:rsid w:val="007B1F6E"/>
    <w:rsid w:val="007B48EC"/>
    <w:rsid w:val="007B6884"/>
    <w:rsid w:val="007C6730"/>
    <w:rsid w:val="007E79E7"/>
    <w:rsid w:val="007F1806"/>
    <w:rsid w:val="007F297B"/>
    <w:rsid w:val="008057E2"/>
    <w:rsid w:val="00835E3A"/>
    <w:rsid w:val="00841099"/>
    <w:rsid w:val="00842611"/>
    <w:rsid w:val="00856335"/>
    <w:rsid w:val="00857402"/>
    <w:rsid w:val="008600DD"/>
    <w:rsid w:val="00865EB3"/>
    <w:rsid w:val="00883BF1"/>
    <w:rsid w:val="00892ED6"/>
    <w:rsid w:val="00895809"/>
    <w:rsid w:val="008A6CBF"/>
    <w:rsid w:val="008B1E67"/>
    <w:rsid w:val="008B476F"/>
    <w:rsid w:val="008B7CFB"/>
    <w:rsid w:val="008E0018"/>
    <w:rsid w:val="008E4248"/>
    <w:rsid w:val="008F238C"/>
    <w:rsid w:val="00900040"/>
    <w:rsid w:val="00917D3C"/>
    <w:rsid w:val="00934765"/>
    <w:rsid w:val="009354F7"/>
    <w:rsid w:val="009371C2"/>
    <w:rsid w:val="00950DF5"/>
    <w:rsid w:val="0095181A"/>
    <w:rsid w:val="0096342D"/>
    <w:rsid w:val="009670FB"/>
    <w:rsid w:val="00967FED"/>
    <w:rsid w:val="009713D5"/>
    <w:rsid w:val="009815C7"/>
    <w:rsid w:val="00984663"/>
    <w:rsid w:val="009B601D"/>
    <w:rsid w:val="009B6BD8"/>
    <w:rsid w:val="009C466B"/>
    <w:rsid w:val="009D439C"/>
    <w:rsid w:val="009D76E9"/>
    <w:rsid w:val="009E19B4"/>
    <w:rsid w:val="009E3988"/>
    <w:rsid w:val="00A06CF6"/>
    <w:rsid w:val="00A119A8"/>
    <w:rsid w:val="00A22765"/>
    <w:rsid w:val="00A24F46"/>
    <w:rsid w:val="00A27B33"/>
    <w:rsid w:val="00A27FEA"/>
    <w:rsid w:val="00A34DA0"/>
    <w:rsid w:val="00A34ECC"/>
    <w:rsid w:val="00A36099"/>
    <w:rsid w:val="00A752C0"/>
    <w:rsid w:val="00AB68EC"/>
    <w:rsid w:val="00AC192F"/>
    <w:rsid w:val="00AD3210"/>
    <w:rsid w:val="00AD4232"/>
    <w:rsid w:val="00AE7CC6"/>
    <w:rsid w:val="00AF03C0"/>
    <w:rsid w:val="00B07BDE"/>
    <w:rsid w:val="00B1239B"/>
    <w:rsid w:val="00B127AA"/>
    <w:rsid w:val="00B217AB"/>
    <w:rsid w:val="00B229E3"/>
    <w:rsid w:val="00B22AEB"/>
    <w:rsid w:val="00B268D1"/>
    <w:rsid w:val="00B34E74"/>
    <w:rsid w:val="00B3677B"/>
    <w:rsid w:val="00B43826"/>
    <w:rsid w:val="00B537EE"/>
    <w:rsid w:val="00B640E9"/>
    <w:rsid w:val="00B65688"/>
    <w:rsid w:val="00B72DFA"/>
    <w:rsid w:val="00B73AC5"/>
    <w:rsid w:val="00B84410"/>
    <w:rsid w:val="00B86551"/>
    <w:rsid w:val="00BA6B26"/>
    <w:rsid w:val="00BB443F"/>
    <w:rsid w:val="00BB4780"/>
    <w:rsid w:val="00BC1EBB"/>
    <w:rsid w:val="00BC5334"/>
    <w:rsid w:val="00BD11A1"/>
    <w:rsid w:val="00BD4E42"/>
    <w:rsid w:val="00BF1EB1"/>
    <w:rsid w:val="00BF4F61"/>
    <w:rsid w:val="00BF75EE"/>
    <w:rsid w:val="00C11C7E"/>
    <w:rsid w:val="00C13C95"/>
    <w:rsid w:val="00C3385E"/>
    <w:rsid w:val="00C33DD9"/>
    <w:rsid w:val="00C345BF"/>
    <w:rsid w:val="00C363FA"/>
    <w:rsid w:val="00C4439C"/>
    <w:rsid w:val="00C507CD"/>
    <w:rsid w:val="00C51C2A"/>
    <w:rsid w:val="00C5358D"/>
    <w:rsid w:val="00C54708"/>
    <w:rsid w:val="00C62725"/>
    <w:rsid w:val="00C64896"/>
    <w:rsid w:val="00C935BB"/>
    <w:rsid w:val="00C9478D"/>
    <w:rsid w:val="00C9627E"/>
    <w:rsid w:val="00CB6CC7"/>
    <w:rsid w:val="00CC0A6E"/>
    <w:rsid w:val="00CC5A20"/>
    <w:rsid w:val="00CC63A7"/>
    <w:rsid w:val="00CD0425"/>
    <w:rsid w:val="00CD225E"/>
    <w:rsid w:val="00CD66C1"/>
    <w:rsid w:val="00CE1F5F"/>
    <w:rsid w:val="00CE31DC"/>
    <w:rsid w:val="00CE73E0"/>
    <w:rsid w:val="00CF22B7"/>
    <w:rsid w:val="00CF374E"/>
    <w:rsid w:val="00CF450D"/>
    <w:rsid w:val="00D0047C"/>
    <w:rsid w:val="00D0217B"/>
    <w:rsid w:val="00D10E20"/>
    <w:rsid w:val="00D111F0"/>
    <w:rsid w:val="00D113E3"/>
    <w:rsid w:val="00D13610"/>
    <w:rsid w:val="00D35524"/>
    <w:rsid w:val="00D40322"/>
    <w:rsid w:val="00D42948"/>
    <w:rsid w:val="00D44A9E"/>
    <w:rsid w:val="00D45B17"/>
    <w:rsid w:val="00D5583D"/>
    <w:rsid w:val="00D579E1"/>
    <w:rsid w:val="00D65A71"/>
    <w:rsid w:val="00D7133D"/>
    <w:rsid w:val="00D72854"/>
    <w:rsid w:val="00D8661C"/>
    <w:rsid w:val="00D948B2"/>
    <w:rsid w:val="00DA3838"/>
    <w:rsid w:val="00DB3B5B"/>
    <w:rsid w:val="00DD440C"/>
    <w:rsid w:val="00DE0B44"/>
    <w:rsid w:val="00DE1E04"/>
    <w:rsid w:val="00DE1EDD"/>
    <w:rsid w:val="00DF322F"/>
    <w:rsid w:val="00E270E4"/>
    <w:rsid w:val="00E314BF"/>
    <w:rsid w:val="00E3605F"/>
    <w:rsid w:val="00E36EA8"/>
    <w:rsid w:val="00E37C83"/>
    <w:rsid w:val="00E51775"/>
    <w:rsid w:val="00E60D0B"/>
    <w:rsid w:val="00E62614"/>
    <w:rsid w:val="00E66467"/>
    <w:rsid w:val="00E971B4"/>
    <w:rsid w:val="00EB0AFA"/>
    <w:rsid w:val="00EB0FD7"/>
    <w:rsid w:val="00ED1551"/>
    <w:rsid w:val="00ED7DBA"/>
    <w:rsid w:val="00EE6512"/>
    <w:rsid w:val="00EF585C"/>
    <w:rsid w:val="00F10D79"/>
    <w:rsid w:val="00F25550"/>
    <w:rsid w:val="00F43969"/>
    <w:rsid w:val="00F55215"/>
    <w:rsid w:val="00F67433"/>
    <w:rsid w:val="00F70453"/>
    <w:rsid w:val="00F719AC"/>
    <w:rsid w:val="00F87224"/>
    <w:rsid w:val="00F94A06"/>
    <w:rsid w:val="00F94DB2"/>
    <w:rsid w:val="00F94E0D"/>
    <w:rsid w:val="00F954E0"/>
    <w:rsid w:val="00FA634A"/>
    <w:rsid w:val="00FB255C"/>
    <w:rsid w:val="00FB5285"/>
    <w:rsid w:val="00FC22EF"/>
    <w:rsid w:val="00FD482E"/>
    <w:rsid w:val="00FE3654"/>
    <w:rsid w:val="00FF13F4"/>
    <w:rsid w:val="00FF4E81"/>
    <w:rsid w:val="0259D225"/>
    <w:rsid w:val="040F316D"/>
    <w:rsid w:val="04682A23"/>
    <w:rsid w:val="0729A1AF"/>
    <w:rsid w:val="08EFA536"/>
    <w:rsid w:val="0AD7D67D"/>
    <w:rsid w:val="0C0D4F91"/>
    <w:rsid w:val="0D03BBDA"/>
    <w:rsid w:val="0D0A2316"/>
    <w:rsid w:val="0DB7DA59"/>
    <w:rsid w:val="0E3DBE7E"/>
    <w:rsid w:val="0EE846C0"/>
    <w:rsid w:val="0F1D6EF8"/>
    <w:rsid w:val="1010C5C0"/>
    <w:rsid w:val="10351085"/>
    <w:rsid w:val="103B29CB"/>
    <w:rsid w:val="109A1595"/>
    <w:rsid w:val="12EE6919"/>
    <w:rsid w:val="143AF054"/>
    <w:rsid w:val="16614A2E"/>
    <w:rsid w:val="16BA72A0"/>
    <w:rsid w:val="16CC6A3C"/>
    <w:rsid w:val="16D5AF3B"/>
    <w:rsid w:val="18D3822D"/>
    <w:rsid w:val="19281DDC"/>
    <w:rsid w:val="19E59322"/>
    <w:rsid w:val="1CF88E8C"/>
    <w:rsid w:val="1E15FDF3"/>
    <w:rsid w:val="1E2A25EB"/>
    <w:rsid w:val="1FD0D971"/>
    <w:rsid w:val="22ACF2FB"/>
    <w:rsid w:val="24C55949"/>
    <w:rsid w:val="24DF314C"/>
    <w:rsid w:val="24EAA7D9"/>
    <w:rsid w:val="2515B78A"/>
    <w:rsid w:val="26C3C002"/>
    <w:rsid w:val="2B206F5C"/>
    <w:rsid w:val="2B3CC66E"/>
    <w:rsid w:val="2B415E33"/>
    <w:rsid w:val="2B4291E2"/>
    <w:rsid w:val="30E700A0"/>
    <w:rsid w:val="322F5FEC"/>
    <w:rsid w:val="326CA6BC"/>
    <w:rsid w:val="354A1F71"/>
    <w:rsid w:val="36115596"/>
    <w:rsid w:val="3753CAD2"/>
    <w:rsid w:val="3A6C4533"/>
    <w:rsid w:val="3B92D6B9"/>
    <w:rsid w:val="3E2B5E74"/>
    <w:rsid w:val="3FC44CE4"/>
    <w:rsid w:val="41601D45"/>
    <w:rsid w:val="42018303"/>
    <w:rsid w:val="4402DF57"/>
    <w:rsid w:val="4424E4E1"/>
    <w:rsid w:val="45679F31"/>
    <w:rsid w:val="459BCC25"/>
    <w:rsid w:val="46BF0EF2"/>
    <w:rsid w:val="46F5DF56"/>
    <w:rsid w:val="470F91E2"/>
    <w:rsid w:val="4746E236"/>
    <w:rsid w:val="496A9C3B"/>
    <w:rsid w:val="4B1E239F"/>
    <w:rsid w:val="4C793F21"/>
    <w:rsid w:val="4CDD5E0B"/>
    <w:rsid w:val="4E792E6C"/>
    <w:rsid w:val="519B579F"/>
    <w:rsid w:val="52A5F537"/>
    <w:rsid w:val="540D5BE5"/>
    <w:rsid w:val="54CF4793"/>
    <w:rsid w:val="55F7ACD8"/>
    <w:rsid w:val="57BDAF15"/>
    <w:rsid w:val="57D14D1C"/>
    <w:rsid w:val="5913F274"/>
    <w:rsid w:val="59321497"/>
    <w:rsid w:val="5B025E02"/>
    <w:rsid w:val="5B628833"/>
    <w:rsid w:val="5BF4F205"/>
    <w:rsid w:val="5C591032"/>
    <w:rsid w:val="5C5FD026"/>
    <w:rsid w:val="5DCBA082"/>
    <w:rsid w:val="5EA2FC36"/>
    <w:rsid w:val="5EF42D44"/>
    <w:rsid w:val="60328F84"/>
    <w:rsid w:val="622B4A90"/>
    <w:rsid w:val="62427851"/>
    <w:rsid w:val="6324B39A"/>
    <w:rsid w:val="6329505D"/>
    <w:rsid w:val="6341E181"/>
    <w:rsid w:val="652FF9BD"/>
    <w:rsid w:val="653F2C16"/>
    <w:rsid w:val="688E253D"/>
    <w:rsid w:val="6B5C9A67"/>
    <w:rsid w:val="6C030A9E"/>
    <w:rsid w:val="6E641FA8"/>
    <w:rsid w:val="7116C2C3"/>
    <w:rsid w:val="71C918AE"/>
    <w:rsid w:val="72CE02C2"/>
    <w:rsid w:val="7323CFE1"/>
    <w:rsid w:val="782FAF12"/>
    <w:rsid w:val="7A895041"/>
    <w:rsid w:val="7C10159A"/>
    <w:rsid w:val="7C6799AC"/>
    <w:rsid w:val="7CA3D77D"/>
    <w:rsid w:val="7E720322"/>
    <w:rsid w:val="7F5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65DD"/>
  <w15:chartTrackingRefBased/>
  <w15:docId w15:val="{E2E546CE-68E6-4B7D-B769-72F65AB2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73"/>
  </w:style>
  <w:style w:type="paragraph" w:styleId="Heading1">
    <w:name w:val="heading 1"/>
    <w:basedOn w:val="Normal"/>
    <w:next w:val="Normal"/>
    <w:link w:val="Heading1Char"/>
    <w:uiPriority w:val="9"/>
    <w:qFormat/>
    <w:rsid w:val="00780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4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802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02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02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02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B7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CF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4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C1E"/>
  </w:style>
  <w:style w:type="paragraph" w:styleId="Footer">
    <w:name w:val="footer"/>
    <w:basedOn w:val="Normal"/>
    <w:link w:val="FooterChar"/>
    <w:uiPriority w:val="99"/>
    <w:unhideWhenUsed/>
    <w:rsid w:val="0036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C1E"/>
  </w:style>
  <w:style w:type="character" w:styleId="Hyperlink">
    <w:name w:val="Hyperlink"/>
    <w:basedOn w:val="DefaultParagraphFont"/>
    <w:uiPriority w:val="99"/>
    <w:unhideWhenUsed/>
    <w:rsid w:val="00950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DF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C6272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C62725"/>
    <w:rPr>
      <w:rFonts w:ascii="Segoe UI" w:hAnsi="Segoe UI" w:cs="Segoe UI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8ef829-98c5-46d1-83dc-c2ef7c814da2" xsi:nil="true"/>
    <TaxCatchAll xmlns="2ddeef39-65d3-4660-94f2-f063f949c57e" xsi:nil="true"/>
    <lcf76f155ced4ddcb4097134ff3c332f xmlns="288ef829-98c5-46d1-83dc-c2ef7c814da2">
      <Terms xmlns="http://schemas.microsoft.com/office/infopath/2007/PartnerControls"/>
    </lcf76f155ced4ddcb4097134ff3c332f>
    <SharedWithUsers xmlns="2ddeef39-65d3-4660-94f2-f063f949c57e">
      <UserInfo>
        <DisplayName>John Stover</DisplayName>
        <AccountId>2253</AccountId>
        <AccountType/>
      </UserInfo>
      <UserInfo>
        <DisplayName>WANYEKI, Ian</DisplayName>
        <AccountId>197</AccountId>
        <AccountType/>
      </UserInfo>
      <UserInfo>
        <DisplayName>MAHY, Mary</DisplayName>
        <AccountId>20</AccountId>
        <AccountType/>
      </UserInfo>
      <UserInfo>
        <DisplayName>Robert Glaubius</DisplayName>
        <AccountId>5514</AccountId>
        <AccountType/>
      </UserInfo>
      <UserInfo>
        <DisplayName>SABIN, Keith</DisplayName>
        <AccountId>25</AccountId>
        <AccountType/>
      </UserInfo>
      <UserInfo>
        <DisplayName>KORENROMP, Eline Louise</DisplayName>
        <AccountId>7579</AccountId>
        <AccountType/>
      </UserInfo>
      <UserInfo>
        <DisplayName>DAHER, Juliana</DisplayName>
        <AccountId>63</AccountId>
        <AccountType/>
      </UserInfo>
      <UserInfo>
        <DisplayName>Tim Brown</DisplayName>
        <AccountId>394</AccountId>
        <AccountType/>
      </UserInfo>
      <UserInfo>
        <DisplayName>EBY, Ehounoud Pascal</DisplayName>
        <AccountId>44</AccountId>
        <AccountType/>
      </UserInfo>
      <UserInfo>
        <DisplayName>FRESCURA, Luisa</DisplayName>
        <AccountId>27</AccountId>
        <AccountType/>
      </UserInfo>
      <UserInfo>
        <DisplayName>RWODZI, Desire Tarwireyi</DisplayName>
        <AccountId>4456</AccountId>
        <AccountType/>
      </UserInfo>
      <UserInfo>
        <DisplayName>YAKUSIK, Anna</DisplayName>
        <AccountId>38</AccountId>
        <AccountType/>
      </UserInfo>
      <UserInfo>
        <DisplayName>BRACAMONTE BARDALEZ, Patricia</DisplayName>
        <AccountId>1140</AccountId>
        <AccountType/>
      </UserInfo>
      <UserInfo>
        <DisplayName>GUICHARD, Anne-Claire</DisplayName>
        <AccountId>7676</AccountId>
        <AccountType/>
      </UserInfo>
      <UserInfo>
        <DisplayName>MORO, Liana</DisplayName>
        <AccountId>4650</AccountId>
        <AccountType/>
      </UserInfo>
      <UserInfo>
        <DisplayName>YANG, Titi</DisplayName>
        <AccountId>10923</AccountId>
        <AccountType/>
      </UserInfo>
      <UserInfo>
        <DisplayName>DANIEL, Isabel</DisplayName>
        <AccountId>11269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3E641F549574BB805BD9C73365D4F" ma:contentTypeVersion="19" ma:contentTypeDescription="Create a new document." ma:contentTypeScope="" ma:versionID="fd2d0a4ae318738fa5f1ff72e65b2934">
  <xsd:schema xmlns:xsd="http://www.w3.org/2001/XMLSchema" xmlns:xs="http://www.w3.org/2001/XMLSchema" xmlns:p="http://schemas.microsoft.com/office/2006/metadata/properties" xmlns:ns2="288ef829-98c5-46d1-83dc-c2ef7c814da2" xmlns:ns3="2ddeef39-65d3-4660-94f2-f063f949c57e" targetNamespace="http://schemas.microsoft.com/office/2006/metadata/properties" ma:root="true" ma:fieldsID="37c2625be6a258cebd7413079fa12bc5" ns2:_="" ns3:_="">
    <xsd:import namespace="288ef829-98c5-46d1-83dc-c2ef7c814da2"/>
    <xsd:import namespace="2ddeef39-65d3-4660-94f2-f063f949c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ef829-98c5-46d1-83dc-c2ef7c814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08808e-a4ff-498b-8b44-8869f1dca9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eef39-65d3-4660-94f2-f063f949c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1142ec6-8224-48c2-babf-013e8b339833}" ma:internalName="TaxCatchAll" ma:showField="CatchAllData" ma:web="2ddeef39-65d3-4660-94f2-f063f949c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B7500-C040-4731-89F1-8D4617D49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DA264-9CD3-4A62-8F85-E9F136C3D149}">
  <ds:schemaRefs>
    <ds:schemaRef ds:uri="http://schemas.microsoft.com/office/2006/metadata/properties"/>
    <ds:schemaRef ds:uri="http://schemas.microsoft.com/office/infopath/2007/PartnerControls"/>
    <ds:schemaRef ds:uri="288ef829-98c5-46d1-83dc-c2ef7c814da2"/>
    <ds:schemaRef ds:uri="2ddeef39-65d3-4660-94f2-f063f949c57e"/>
  </ds:schemaRefs>
</ds:datastoreItem>
</file>

<file path=customXml/itemProps3.xml><?xml version="1.0" encoding="utf-8"?>
<ds:datastoreItem xmlns:ds="http://schemas.openxmlformats.org/officeDocument/2006/customXml" ds:itemID="{CC4275AD-E43B-4F29-A573-EB536E605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ef829-98c5-46d1-83dc-c2ef7c814da2"/>
    <ds:schemaRef ds:uri="2ddeef39-65d3-4660-94f2-f063f949c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2e1cf9b-e1b6-44eb-8021-428c292d3eb5}" enabled="0" method="" siteId="{c2e1cf9b-e1b6-44eb-8021-428c292d3e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Stover</dc:creator>
  <cp:keywords>, docId:86ADAECC910229518BD4AACEBF735ED8</cp:keywords>
  <dc:description/>
  <cp:lastModifiedBy>KORENROMP, Eline Louise</cp:lastModifiedBy>
  <cp:revision>7</cp:revision>
  <dcterms:created xsi:type="dcterms:W3CDTF">2024-01-26T13:02:00Z</dcterms:created>
  <dcterms:modified xsi:type="dcterms:W3CDTF">2024-01-29T13:05:00Z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0x0101006893E641F549574BB805BD9C73365D4F</vt:lpwstr>
  </property>
  <property fmtid="{D5CDD505-2E9C-101B-9397-08002B2CF9AE}" pid="3" name="MediaServiceImageTags">
    <vt:lpwstr/>
  </property>
</Properties>
</file>