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5E0D" w14:textId="77777777" w:rsidR="00453EE8" w:rsidRPr="00140872" w:rsidRDefault="00501879">
      <w:pPr>
        <w:pStyle w:val="Heading1"/>
        <w:rPr>
          <w:lang w:val="fr-FR"/>
        </w:rPr>
      </w:pPr>
      <w:r w:rsidRPr="00140872">
        <w:rPr>
          <w:lang w:val="fr-FR"/>
        </w:rPr>
        <w:t xml:space="preserve">Mises à jour du logiciel Spectrum/AIM pour le cycle d'estimation </w:t>
      </w:r>
      <w:r w:rsidR="006B1066" w:rsidRPr="00140872">
        <w:rPr>
          <w:lang w:val="fr-FR"/>
        </w:rPr>
        <w:t>2024</w:t>
      </w:r>
    </w:p>
    <w:p w14:paraId="31767C17" w14:textId="61BFB8BF" w:rsidR="00453EE8" w:rsidRPr="003F7B05" w:rsidRDefault="00501879">
      <w:pPr>
        <w:rPr>
          <w:lang w:val="fr-FR"/>
        </w:rPr>
      </w:pPr>
      <w:r w:rsidRPr="003F7B05">
        <w:rPr>
          <w:lang w:val="fr-FR"/>
        </w:rPr>
        <w:t xml:space="preserve">Version </w:t>
      </w:r>
      <w:r w:rsidR="00FD673C">
        <w:rPr>
          <w:lang w:val="fr-FR"/>
        </w:rPr>
        <w:t xml:space="preserve">23 Janvier </w:t>
      </w:r>
      <w:r w:rsidRPr="003F7B05">
        <w:rPr>
          <w:lang w:val="fr-FR"/>
        </w:rPr>
        <w:t>202</w:t>
      </w:r>
      <w:r w:rsidR="009973BB">
        <w:rPr>
          <w:lang w:val="fr-FR"/>
        </w:rPr>
        <w:t>4</w:t>
      </w:r>
    </w:p>
    <w:p w14:paraId="1D073982" w14:textId="77777777" w:rsidR="00453EE8" w:rsidRPr="003F7B05" w:rsidRDefault="00501879">
      <w:pPr>
        <w:pStyle w:val="Heading2"/>
        <w:rPr>
          <w:lang w:val="fr-FR"/>
        </w:rPr>
      </w:pPr>
      <w:r w:rsidRPr="003F7B05">
        <w:rPr>
          <w:lang w:val="fr-FR"/>
        </w:rPr>
        <w:t>Saisie de données</w:t>
      </w:r>
    </w:p>
    <w:p w14:paraId="216E7B8B" w14:textId="77777777" w:rsidR="00E27EAF" w:rsidRPr="00E27EAF" w:rsidRDefault="00E27EAF" w:rsidP="00E27EAF">
      <w:pPr>
        <w:pStyle w:val="ListParagraph"/>
        <w:numPr>
          <w:ilvl w:val="0"/>
          <w:numId w:val="2"/>
        </w:numPr>
        <w:rPr>
          <w:lang w:val="fr-FR"/>
        </w:rPr>
      </w:pPr>
      <w:r w:rsidRPr="00E27EAF">
        <w:rPr>
          <w:b/>
          <w:bCs/>
          <w:lang w:val="fr-FR"/>
        </w:rPr>
        <w:t>Interruption de traitement.</w:t>
      </w:r>
      <w:r w:rsidRPr="00E27EAF">
        <w:rPr>
          <w:lang w:val="fr-FR"/>
        </w:rPr>
        <w:t xml:space="preserve"> Il est désormais recommandé aux utilisateurs de saisir les taux d'interruption de traitement pour toutes les années de traitement antirétroviral. L'expression "interruption de traitement" remplace l'ancienne expression "perdu de vue". Les taux doivent être calculés à partir des données du programme national, si elles sont fiables. </w:t>
      </w:r>
      <w:r w:rsidRPr="00E27EAF">
        <w:rPr>
          <w:lang w:val="fr-FR"/>
        </w:rPr>
        <w:br/>
        <w:t>Pour les années sans données, il est recommandé d'adopter des taux par défaut, pour lesquels les éditeurs 'Traitement des enfants' et 'TAR Adultes' ont maintenant des boutons intitulés 'Apply default interruption rate' (Appliquer le taux d'interruption par défaut). En cliquant sur ce bouton, vous insérerez le taux d'interruption par défaut recommandé pour toutes les années : 5 % par an pour les adultes et les enfants dans toutes les régions, à l'exception des pays à revenu élevé, où le taux par défaut est de 1,6 %.</w:t>
      </w:r>
      <w:r w:rsidRPr="00E27EAF">
        <w:rPr>
          <w:lang w:val="fr-FR"/>
        </w:rPr>
        <w:br/>
      </w:r>
    </w:p>
    <w:p w14:paraId="5F21FF33" w14:textId="350007D2" w:rsidR="00453EE8" w:rsidRPr="00140872" w:rsidRDefault="00501879">
      <w:pPr>
        <w:pStyle w:val="ListParagraph"/>
        <w:numPr>
          <w:ilvl w:val="0"/>
          <w:numId w:val="2"/>
        </w:numPr>
        <w:rPr>
          <w:lang w:val="fr-FR"/>
        </w:rPr>
      </w:pPr>
      <w:r w:rsidRPr="00140872">
        <w:rPr>
          <w:b/>
          <w:bCs/>
          <w:lang w:val="fr-FR"/>
        </w:rPr>
        <w:t xml:space="preserve">Les schémas d'allaitement </w:t>
      </w:r>
      <w:r w:rsidRPr="00140872">
        <w:rPr>
          <w:lang w:val="fr-FR"/>
        </w:rPr>
        <w:t xml:space="preserve">ont été mis à jour </w:t>
      </w:r>
      <w:r w:rsidR="326CA6BC" w:rsidRPr="00140872">
        <w:rPr>
          <w:lang w:val="fr-FR"/>
        </w:rPr>
        <w:t xml:space="preserve">pour </w:t>
      </w:r>
      <w:r w:rsidR="652FF9BD" w:rsidRPr="00140872">
        <w:rPr>
          <w:lang w:val="fr-FR"/>
        </w:rPr>
        <w:t xml:space="preserve">intégrer les </w:t>
      </w:r>
      <w:r w:rsidRPr="00140872">
        <w:rPr>
          <w:lang w:val="fr-FR"/>
        </w:rPr>
        <w:t>dernières données d'enquête</w:t>
      </w:r>
      <w:r w:rsidR="00E46F73">
        <w:rPr>
          <w:lang w:val="fr-FR"/>
        </w:rPr>
        <w:t>s</w:t>
      </w:r>
      <w:r w:rsidRPr="00140872">
        <w:rPr>
          <w:lang w:val="fr-FR"/>
        </w:rPr>
        <w:t xml:space="preserve"> (pour 6 pays d'Afrique </w:t>
      </w:r>
      <w:r w:rsidR="459BCC25" w:rsidRPr="00140872">
        <w:rPr>
          <w:lang w:val="fr-FR"/>
        </w:rPr>
        <w:t>subsaharienne</w:t>
      </w:r>
      <w:r w:rsidRPr="00140872">
        <w:rPr>
          <w:lang w:val="fr-FR"/>
        </w:rPr>
        <w:t xml:space="preserve">). Cela améliorera légèrement les estimations de la PTME pour tous les pays d'Afrique </w:t>
      </w:r>
      <w:r w:rsidR="00C9468B">
        <w:rPr>
          <w:lang w:val="fr-FR"/>
        </w:rPr>
        <w:t>A</w:t>
      </w:r>
      <w:r w:rsidRPr="00140872">
        <w:rPr>
          <w:lang w:val="fr-FR"/>
        </w:rPr>
        <w:t>ustrale, d'Afrique de l'Est et d'Afrique de l'Ouest</w:t>
      </w:r>
      <w:r w:rsidR="55F7ACD8" w:rsidRPr="00140872">
        <w:rPr>
          <w:lang w:val="fr-FR"/>
        </w:rPr>
        <w:t xml:space="preserve">. Pour </w:t>
      </w:r>
      <w:r w:rsidR="62427851" w:rsidRPr="00140872">
        <w:rPr>
          <w:lang w:val="fr-FR"/>
        </w:rPr>
        <w:t xml:space="preserve">ce faire, sélectionnez </w:t>
      </w:r>
      <w:r w:rsidR="00087F88" w:rsidRPr="00140872">
        <w:rPr>
          <w:lang w:val="fr-FR"/>
        </w:rPr>
        <w:t>'</w:t>
      </w:r>
      <w:r w:rsidRPr="00140872">
        <w:rPr>
          <w:lang w:val="fr-FR"/>
        </w:rPr>
        <w:t>Lire les données de l'enquête</w:t>
      </w:r>
      <w:r w:rsidR="00087F88" w:rsidRPr="00140872">
        <w:rPr>
          <w:lang w:val="fr-FR"/>
        </w:rPr>
        <w:t>'</w:t>
      </w:r>
      <w:r w:rsidRPr="00140872">
        <w:rPr>
          <w:lang w:val="fr-FR"/>
        </w:rPr>
        <w:t xml:space="preserve"> dans AIM &gt; PTME &gt; Allaitement.</w:t>
      </w:r>
    </w:p>
    <w:p w14:paraId="4D41CAD5" w14:textId="1434310A" w:rsidR="00AF03C0" w:rsidRPr="00140872" w:rsidRDefault="00AF03C0" w:rsidP="00451256">
      <w:pPr>
        <w:pStyle w:val="ListParagraph"/>
        <w:ind w:left="360"/>
        <w:rPr>
          <w:lang w:val="fr-FR"/>
        </w:rPr>
      </w:pPr>
      <w:r w:rsidRPr="00140872">
        <w:rPr>
          <w:lang w:val="fr-FR"/>
        </w:rPr>
        <w:t xml:space="preserve"> </w:t>
      </w:r>
    </w:p>
    <w:p w14:paraId="34182520" w14:textId="5544A186" w:rsidR="00453EE8" w:rsidRPr="00140872" w:rsidRDefault="38085EB8">
      <w:pPr>
        <w:pStyle w:val="ListParagraph"/>
        <w:numPr>
          <w:ilvl w:val="0"/>
          <w:numId w:val="2"/>
        </w:numPr>
        <w:rPr>
          <w:lang w:val="fr-FR"/>
        </w:rPr>
      </w:pPr>
      <w:r w:rsidRPr="00140872">
        <w:rPr>
          <w:b/>
          <w:bCs/>
          <w:lang w:val="fr-FR"/>
        </w:rPr>
        <w:t>Connaissance du statut des enfants</w:t>
      </w:r>
      <w:r w:rsidRPr="00140872">
        <w:rPr>
          <w:lang w:val="fr-FR"/>
        </w:rPr>
        <w:t xml:space="preserve">. Comme les informations sur le pourcentage d'enfants connaissant leur statut sont </w:t>
      </w:r>
      <w:r w:rsidR="00FF3B64">
        <w:rPr>
          <w:lang w:val="fr-FR"/>
        </w:rPr>
        <w:t>pratiquement inexistantes</w:t>
      </w:r>
      <w:r w:rsidRPr="00140872">
        <w:rPr>
          <w:lang w:val="fr-FR"/>
        </w:rPr>
        <w:t>, le nombre d'enfants sous traitement antirétroviral a été utilisé comme approximation, mais il s'agit probablement d'une sous-estimation. Spectrum offre désormais la possibilité d'estimer le nombre d'enfants séropositifs connaissant leur statut. Ce nombre est calculé en utilisant le nombre d'enfants sous TAR (saisi dans l'éditeur Traitement de l'enfant)</w:t>
      </w:r>
      <w:r w:rsidR="00A729EF">
        <w:rPr>
          <w:lang w:val="fr-FR"/>
        </w:rPr>
        <w:t>,</w:t>
      </w:r>
      <w:r w:rsidRPr="00140872">
        <w:rPr>
          <w:lang w:val="fr-FR"/>
        </w:rPr>
        <w:t xml:space="preserve"> plus le nombre d'enfants précédemment traités (estimé en utilisant les taux d'interruption de traitement dans l'éditeur </w:t>
      </w:r>
      <w:r w:rsidR="00C52EAF">
        <w:rPr>
          <w:lang w:val="fr-FR"/>
        </w:rPr>
        <w:t>« </w:t>
      </w:r>
      <w:r w:rsidRPr="00140872">
        <w:rPr>
          <w:lang w:val="fr-FR"/>
        </w:rPr>
        <w:t>Traitement de l'enfant</w:t>
      </w:r>
      <w:r w:rsidR="00C52EAF">
        <w:rPr>
          <w:lang w:val="fr-FR"/>
        </w:rPr>
        <w:t> »</w:t>
      </w:r>
      <w:r w:rsidRPr="00140872">
        <w:rPr>
          <w:lang w:val="fr-FR"/>
        </w:rPr>
        <w:t>)</w:t>
      </w:r>
      <w:r w:rsidR="006A0B36">
        <w:rPr>
          <w:lang w:val="fr-FR"/>
        </w:rPr>
        <w:t>,</w:t>
      </w:r>
      <w:r w:rsidRPr="00140872">
        <w:rPr>
          <w:lang w:val="fr-FR"/>
        </w:rPr>
        <w:t xml:space="preserve"> tout en tenant compte du vieillissement de la cohorte d'enfants (0-14 ans) et des décès. Cliquez sur le bouton "Calculer la connaissance du statut de l'enfant" </w:t>
      </w:r>
      <w:r w:rsidR="000B3459">
        <w:rPr>
          <w:lang w:val="fr-FR"/>
        </w:rPr>
        <w:t xml:space="preserve">(KOS en anglais) </w:t>
      </w:r>
      <w:r w:rsidRPr="00140872">
        <w:rPr>
          <w:lang w:val="fr-FR"/>
        </w:rPr>
        <w:t xml:space="preserve">dans l'éditeur de la connaissance du statut pour utiliser cette nouvelle fonctionnalité. </w:t>
      </w:r>
    </w:p>
    <w:p w14:paraId="6CD54E6D" w14:textId="77777777" w:rsidR="00453EE8" w:rsidRPr="00140872" w:rsidRDefault="24C55949">
      <w:pPr>
        <w:pStyle w:val="Heading2"/>
        <w:rPr>
          <w:lang w:val="fr-FR"/>
        </w:rPr>
      </w:pPr>
      <w:r w:rsidRPr="00140872">
        <w:rPr>
          <w:lang w:val="fr-FR"/>
        </w:rPr>
        <w:t>Paramètres</w:t>
      </w:r>
      <w:r w:rsidR="00501879" w:rsidRPr="00140872">
        <w:rPr>
          <w:lang w:val="fr-FR"/>
        </w:rPr>
        <w:t xml:space="preserve"> par défaut </w:t>
      </w:r>
      <w:r w:rsidR="1010C5C0" w:rsidRPr="00140872">
        <w:rPr>
          <w:lang w:val="fr-FR"/>
        </w:rPr>
        <w:t xml:space="preserve">et </w:t>
      </w:r>
      <w:r w:rsidR="00501879" w:rsidRPr="00140872">
        <w:rPr>
          <w:lang w:val="fr-FR"/>
        </w:rPr>
        <w:t>modèles</w:t>
      </w:r>
      <w:r w:rsidR="1FD0D971" w:rsidRPr="00140872">
        <w:rPr>
          <w:lang w:val="fr-FR"/>
        </w:rPr>
        <w:t xml:space="preserve"> régionaux</w:t>
      </w:r>
    </w:p>
    <w:p w14:paraId="2A4DBF8D" w14:textId="04127C05" w:rsidR="00453EE8" w:rsidRPr="00733E9D" w:rsidRDefault="38085EB8">
      <w:pPr>
        <w:pStyle w:val="ListParagraph"/>
        <w:numPr>
          <w:ilvl w:val="0"/>
          <w:numId w:val="2"/>
        </w:numPr>
        <w:rPr>
          <w:lang w:val="fr-FR"/>
        </w:rPr>
      </w:pPr>
      <w:r w:rsidRPr="00140872">
        <w:rPr>
          <w:b/>
          <w:bCs/>
          <w:lang w:val="fr-FR"/>
        </w:rPr>
        <w:t>Tendances pour la mortalité en cours de traitement</w:t>
      </w:r>
      <w:r w:rsidRPr="00140872">
        <w:rPr>
          <w:lang w:val="fr-FR"/>
        </w:rPr>
        <w:t>. La tendance</w:t>
      </w:r>
      <w:r w:rsidR="00700E2F">
        <w:rPr>
          <w:lang w:val="fr-FR"/>
        </w:rPr>
        <w:t xml:space="preserve"> au cours du </w:t>
      </w:r>
      <w:r w:rsidR="00A21DAE">
        <w:rPr>
          <w:lang w:val="fr-FR"/>
        </w:rPr>
        <w:t>temps</w:t>
      </w:r>
      <w:r w:rsidR="00A21DAE" w:rsidRPr="00140872">
        <w:rPr>
          <w:lang w:val="fr-FR"/>
        </w:rPr>
        <w:t xml:space="preserve"> de</w:t>
      </w:r>
      <w:r w:rsidRPr="00733E9D">
        <w:rPr>
          <w:lang w:val="fr-FR"/>
        </w:rPr>
        <w:t xml:space="preserve"> la mortalité des adultes sous </w:t>
      </w:r>
      <w:r w:rsidR="000B3459">
        <w:rPr>
          <w:lang w:val="fr-FR"/>
        </w:rPr>
        <w:t>TAR</w:t>
      </w:r>
      <w:r w:rsidRPr="00733E9D">
        <w:rPr>
          <w:lang w:val="fr-FR"/>
        </w:rPr>
        <w:t xml:space="preserve"> pour une durée supérieure à 12 mois a été mise à jour pour rester constante après 2018. Auparavant, on prévoyait qu'elle continuerait à diminuer jusqu'en 2021 (en supposant que l'amélioration des régimes antirétroviraux continuerait à faire croître le taux de survie). </w:t>
      </w:r>
      <w:r w:rsidRPr="00AA410C">
        <w:rPr>
          <w:lang w:val="fr-FR"/>
        </w:rPr>
        <w:t>Ce changement implique des estimations légèrement plus élevées de PVVIH et/ou de l'incidence, pour certains contextes</w:t>
      </w:r>
      <w:r w:rsidRPr="00733E9D">
        <w:rPr>
          <w:lang w:val="fr-FR"/>
        </w:rPr>
        <w:t>.</w:t>
      </w:r>
      <w:r w:rsidR="00501879" w:rsidRPr="00733E9D">
        <w:rPr>
          <w:lang w:val="fr-FR"/>
        </w:rPr>
        <w:br/>
      </w:r>
    </w:p>
    <w:p w14:paraId="72B7CC0B" w14:textId="01B9DD62" w:rsidR="00453EE8" w:rsidRPr="00733E9D" w:rsidRDefault="38085EB8">
      <w:pPr>
        <w:pStyle w:val="ListParagraph"/>
        <w:numPr>
          <w:ilvl w:val="0"/>
          <w:numId w:val="2"/>
        </w:numPr>
        <w:rPr>
          <w:lang w:val="fr-FR"/>
        </w:rPr>
      </w:pPr>
      <w:r w:rsidRPr="00733E9D">
        <w:rPr>
          <w:b/>
          <w:bCs/>
          <w:lang w:val="fr-FR"/>
        </w:rPr>
        <w:t xml:space="preserve">Caractéristiques régionales de la mortalité en cours de traitement. </w:t>
      </w:r>
      <w:r w:rsidRPr="00733E9D">
        <w:rPr>
          <w:lang w:val="fr-FR"/>
        </w:rPr>
        <w:t>Les</w:t>
      </w:r>
      <w:r w:rsidRPr="00733E9D">
        <w:rPr>
          <w:b/>
          <w:bCs/>
          <w:lang w:val="fr-FR"/>
        </w:rPr>
        <w:t xml:space="preserve"> </w:t>
      </w:r>
      <w:r w:rsidRPr="00733E9D">
        <w:rPr>
          <w:lang w:val="fr-FR"/>
        </w:rPr>
        <w:t>taux de mortalité sous TAR pour les régions Asie-Pacifique et Amérique latine</w:t>
      </w:r>
      <w:r w:rsidR="005D130E">
        <w:rPr>
          <w:lang w:val="fr-FR"/>
        </w:rPr>
        <w:t xml:space="preserve"> + Caraïbes </w:t>
      </w:r>
      <w:r w:rsidRPr="00733E9D">
        <w:rPr>
          <w:lang w:val="fr-FR"/>
        </w:rPr>
        <w:t xml:space="preserve">ont été mis à jour sur la base d'une analyse du consortium IeDEA, reflétant les effets de l'amélioration des régimes antirétroviraux. Aucune nouvelle donnée n'étant disponible pour l'Europe de l'Est, le Moyen-Orient et l'Afrique du Nord, les tendances pour ces régions ont été mises à jour pour correspondre à leurs régions de </w:t>
      </w:r>
      <w:r w:rsidRPr="00733E9D">
        <w:rPr>
          <w:lang w:val="fr-FR"/>
        </w:rPr>
        <w:lastRenderedPageBreak/>
        <w:t xml:space="preserve">remplacement : L'Amérique latine pour l'Europe de l'Est et l'Afrique de l'Est pour le Moyen-Orient et l'Afrique du Nord. </w:t>
      </w:r>
      <w:r w:rsidR="00501879" w:rsidRPr="00733E9D">
        <w:rPr>
          <w:lang w:val="fr-FR"/>
        </w:rPr>
        <w:br/>
      </w:r>
    </w:p>
    <w:p w14:paraId="093A3438" w14:textId="77777777" w:rsidR="00453EE8" w:rsidRDefault="00501879">
      <w:pPr>
        <w:pStyle w:val="Heading2"/>
      </w:pPr>
      <w:proofErr w:type="spellStart"/>
      <w:r>
        <w:t>Modèles</w:t>
      </w:r>
      <w:proofErr w:type="spellEnd"/>
      <w:r>
        <w:t xml:space="preserve"> </w:t>
      </w:r>
      <w:proofErr w:type="spellStart"/>
      <w:r>
        <w:t>d'incidence</w:t>
      </w:r>
      <w:proofErr w:type="spellEnd"/>
    </w:p>
    <w:p w14:paraId="6678F5E8" w14:textId="0588B971" w:rsidR="00453EE8" w:rsidRPr="00733E9D" w:rsidRDefault="38085EB8">
      <w:pPr>
        <w:pStyle w:val="ListParagraph"/>
        <w:numPr>
          <w:ilvl w:val="0"/>
          <w:numId w:val="2"/>
        </w:numPr>
        <w:rPr>
          <w:lang w:val="fr-FR"/>
        </w:rPr>
      </w:pPr>
      <w:r w:rsidRPr="00733E9D">
        <w:rPr>
          <w:b/>
          <w:bCs/>
          <w:lang w:val="fr-FR"/>
        </w:rPr>
        <w:t xml:space="preserve">CSAVR </w:t>
      </w:r>
      <w:r w:rsidR="00733E9D">
        <w:rPr>
          <w:b/>
          <w:bCs/>
          <w:lang w:val="fr-FR"/>
        </w:rPr>
        <w:t>S</w:t>
      </w:r>
      <w:r w:rsidRPr="00733E9D">
        <w:rPr>
          <w:b/>
          <w:bCs/>
          <w:lang w:val="fr-FR"/>
        </w:rPr>
        <w:t>plines</w:t>
      </w:r>
      <w:r w:rsidRPr="00733E9D">
        <w:rPr>
          <w:lang w:val="fr-FR"/>
        </w:rPr>
        <w:t xml:space="preserve">. Une option a été ajoutée pour permettre à l'utilisateur de spécifier si le modèle doit utiliser 3, 4 ou 5 nœuds dans la courbe. La valeur par défaut reste 5 ; moins de nœuds </w:t>
      </w:r>
      <w:r w:rsidR="00226F48">
        <w:rPr>
          <w:lang w:val="fr-FR"/>
        </w:rPr>
        <w:t>donne</w:t>
      </w:r>
      <w:r w:rsidR="00AF67E5">
        <w:rPr>
          <w:lang w:val="fr-FR"/>
        </w:rPr>
        <w:t xml:space="preserve"> </w:t>
      </w:r>
      <w:r w:rsidRPr="00733E9D">
        <w:rPr>
          <w:lang w:val="fr-FR"/>
        </w:rPr>
        <w:t xml:space="preserve">des courbes plus lisses et plus plates, qui sont moins sensibles aux </w:t>
      </w:r>
      <w:r w:rsidR="00260D21">
        <w:rPr>
          <w:lang w:val="fr-FR"/>
        </w:rPr>
        <w:t>données</w:t>
      </w:r>
      <w:r w:rsidRPr="00733E9D">
        <w:rPr>
          <w:lang w:val="fr-FR"/>
        </w:rPr>
        <w:t xml:space="preserve"> aberrantes, par exemple les baisses temporaires des </w:t>
      </w:r>
      <w:r w:rsidR="003F2700">
        <w:rPr>
          <w:lang w:val="fr-FR"/>
        </w:rPr>
        <w:t>notifications</w:t>
      </w:r>
      <w:r w:rsidRPr="00733E9D">
        <w:rPr>
          <w:lang w:val="fr-FR"/>
        </w:rPr>
        <w:t xml:space="preserve"> de cas récents pendant les crises des systèmes de santé</w:t>
      </w:r>
      <w:r w:rsidR="00650374">
        <w:rPr>
          <w:lang w:val="fr-FR"/>
        </w:rPr>
        <w:t xml:space="preserve"> (rupture de stock</w:t>
      </w:r>
      <w:r w:rsidR="003031FE">
        <w:rPr>
          <w:lang w:val="fr-FR"/>
        </w:rPr>
        <w:t xml:space="preserve">, </w:t>
      </w:r>
      <w:r w:rsidR="0093106D">
        <w:rPr>
          <w:lang w:val="fr-FR"/>
        </w:rPr>
        <w:t>sous notification</w:t>
      </w:r>
      <w:r w:rsidR="003031FE">
        <w:rPr>
          <w:lang w:val="fr-FR"/>
        </w:rPr>
        <w:t>, etc.)</w:t>
      </w:r>
      <w:r w:rsidRPr="00733E9D">
        <w:rPr>
          <w:lang w:val="fr-FR"/>
        </w:rPr>
        <w:t xml:space="preserve">. </w:t>
      </w:r>
      <w:r w:rsidR="00501879" w:rsidRPr="00733E9D">
        <w:rPr>
          <w:lang w:val="fr-FR"/>
        </w:rPr>
        <w:br/>
      </w:r>
    </w:p>
    <w:p w14:paraId="7A79F27A" w14:textId="4AE40232" w:rsidR="00453EE8" w:rsidRPr="00733E9D" w:rsidRDefault="143AF054">
      <w:pPr>
        <w:pStyle w:val="ListParagraph"/>
        <w:numPr>
          <w:ilvl w:val="0"/>
          <w:numId w:val="2"/>
        </w:numPr>
        <w:rPr>
          <w:lang w:val="fr-FR"/>
        </w:rPr>
      </w:pPr>
      <w:r w:rsidRPr="00733E9D">
        <w:rPr>
          <w:b/>
          <w:bCs/>
          <w:lang w:val="fr-FR"/>
        </w:rPr>
        <w:t xml:space="preserve">Contrainte de </w:t>
      </w:r>
      <w:r w:rsidR="00501879" w:rsidRPr="00733E9D">
        <w:rPr>
          <w:b/>
          <w:bCs/>
          <w:lang w:val="fr-FR"/>
        </w:rPr>
        <w:t xml:space="preserve">CSAVR </w:t>
      </w:r>
      <w:r w:rsidR="7116C2C3" w:rsidRPr="00733E9D">
        <w:rPr>
          <w:b/>
          <w:bCs/>
          <w:lang w:val="fr-FR"/>
        </w:rPr>
        <w:t xml:space="preserve">sur les </w:t>
      </w:r>
      <w:r w:rsidR="00501879" w:rsidRPr="00733E9D">
        <w:rPr>
          <w:b/>
          <w:bCs/>
          <w:lang w:val="fr-FR"/>
        </w:rPr>
        <w:t>PVVIH</w:t>
      </w:r>
      <w:r w:rsidR="00501879" w:rsidRPr="00733E9D">
        <w:rPr>
          <w:lang w:val="fr-FR"/>
        </w:rPr>
        <w:t xml:space="preserve">. </w:t>
      </w:r>
      <w:r w:rsidR="0096342D" w:rsidRPr="00733E9D">
        <w:rPr>
          <w:lang w:val="fr-FR"/>
        </w:rPr>
        <w:t xml:space="preserve">CSAVR a été amélioré pour </w:t>
      </w:r>
      <w:r w:rsidR="00501879" w:rsidRPr="00733E9D">
        <w:rPr>
          <w:lang w:val="fr-FR"/>
        </w:rPr>
        <w:t xml:space="preserve">contraindre </w:t>
      </w:r>
      <w:r w:rsidR="0096342D" w:rsidRPr="00733E9D">
        <w:rPr>
          <w:lang w:val="fr-FR"/>
        </w:rPr>
        <w:t xml:space="preserve">son </w:t>
      </w:r>
      <w:r w:rsidR="00501879" w:rsidRPr="00733E9D">
        <w:rPr>
          <w:lang w:val="fr-FR"/>
        </w:rPr>
        <w:t xml:space="preserve">estimation des </w:t>
      </w:r>
      <w:r w:rsidR="00157FE3" w:rsidRPr="00733E9D">
        <w:rPr>
          <w:lang w:val="fr-FR"/>
        </w:rPr>
        <w:t xml:space="preserve">personnes vivant avec le VIH </w:t>
      </w:r>
      <w:r w:rsidR="00501879" w:rsidRPr="00733E9D">
        <w:rPr>
          <w:lang w:val="fr-FR"/>
        </w:rPr>
        <w:t xml:space="preserve">à être au moins aussi importante que le nombre de personnes sous </w:t>
      </w:r>
      <w:r w:rsidR="00BD32AF">
        <w:rPr>
          <w:lang w:val="fr-FR"/>
        </w:rPr>
        <w:t>TAR</w:t>
      </w:r>
      <w:r w:rsidR="00501879" w:rsidRPr="00733E9D">
        <w:rPr>
          <w:lang w:val="fr-FR"/>
        </w:rPr>
        <w:t xml:space="preserve"> </w:t>
      </w:r>
      <w:r w:rsidR="0096342D" w:rsidRPr="00733E9D">
        <w:rPr>
          <w:lang w:val="fr-FR"/>
        </w:rPr>
        <w:t>déclaré</w:t>
      </w:r>
      <w:r w:rsidR="18D3822D" w:rsidRPr="00733E9D">
        <w:rPr>
          <w:lang w:val="fr-FR"/>
        </w:rPr>
        <w:t xml:space="preserve"> par le programme</w:t>
      </w:r>
      <w:r w:rsidR="00B073FB">
        <w:rPr>
          <w:lang w:val="fr-FR"/>
        </w:rPr>
        <w:t xml:space="preserve"> national</w:t>
      </w:r>
      <w:r w:rsidR="18D3822D" w:rsidRPr="00733E9D">
        <w:rPr>
          <w:lang w:val="fr-FR"/>
        </w:rPr>
        <w:t xml:space="preserve">. </w:t>
      </w:r>
      <w:r w:rsidR="46BF0EF2" w:rsidRPr="00733E9D">
        <w:rPr>
          <w:lang w:val="fr-FR"/>
        </w:rPr>
        <w:t xml:space="preserve">Dans des </w:t>
      </w:r>
      <w:r w:rsidR="0096342D" w:rsidRPr="00733E9D">
        <w:rPr>
          <w:lang w:val="fr-FR"/>
        </w:rPr>
        <w:t xml:space="preserve">cas exceptionnels, l'utilisateur peut </w:t>
      </w:r>
      <w:r w:rsidR="4C793F21" w:rsidRPr="00733E9D">
        <w:rPr>
          <w:lang w:val="fr-FR"/>
        </w:rPr>
        <w:t xml:space="preserve">contourner </w:t>
      </w:r>
      <w:r w:rsidR="0096342D" w:rsidRPr="00733E9D">
        <w:rPr>
          <w:lang w:val="fr-FR"/>
        </w:rPr>
        <w:t xml:space="preserve">cette contrainte </w:t>
      </w:r>
      <w:r w:rsidR="00BD11A1" w:rsidRPr="00733E9D">
        <w:rPr>
          <w:lang w:val="fr-FR"/>
        </w:rPr>
        <w:t xml:space="preserve">si les données du programme sur le traitement antirétroviral ne sont pas </w:t>
      </w:r>
      <w:r w:rsidR="00045E98" w:rsidRPr="00733E9D">
        <w:rPr>
          <w:lang w:val="fr-FR"/>
        </w:rPr>
        <w:t xml:space="preserve">jugées </w:t>
      </w:r>
      <w:r w:rsidR="00BD11A1" w:rsidRPr="00733E9D">
        <w:rPr>
          <w:lang w:val="fr-FR"/>
        </w:rPr>
        <w:t>fiables</w:t>
      </w:r>
      <w:r w:rsidR="0096342D" w:rsidRPr="00733E9D">
        <w:rPr>
          <w:lang w:val="fr-FR"/>
        </w:rPr>
        <w:t xml:space="preserve">. </w:t>
      </w:r>
      <w:r w:rsidR="00F67433" w:rsidRPr="00733E9D">
        <w:rPr>
          <w:lang w:val="fr-FR"/>
        </w:rPr>
        <w:br/>
      </w:r>
    </w:p>
    <w:p w14:paraId="0320D814" w14:textId="24BFDBE4" w:rsidR="00453EE8" w:rsidRPr="001F6F0F" w:rsidRDefault="00501879" w:rsidP="00D718F7">
      <w:pPr>
        <w:pStyle w:val="ListParagraph"/>
        <w:numPr>
          <w:ilvl w:val="0"/>
          <w:numId w:val="2"/>
        </w:numPr>
        <w:rPr>
          <w:lang w:val="fr-FR"/>
        </w:rPr>
      </w:pPr>
      <w:r w:rsidRPr="001F6F0F">
        <w:rPr>
          <w:b/>
          <w:bCs/>
          <w:lang w:val="fr-FR"/>
        </w:rPr>
        <w:t xml:space="preserve">CSAVR </w:t>
      </w:r>
      <w:r w:rsidR="0096342D" w:rsidRPr="001F6F0F">
        <w:rPr>
          <w:b/>
          <w:bCs/>
          <w:lang w:val="fr-FR"/>
        </w:rPr>
        <w:t>'</w:t>
      </w:r>
      <w:r w:rsidR="00543D92">
        <w:rPr>
          <w:b/>
          <w:bCs/>
          <w:lang w:val="fr-FR"/>
        </w:rPr>
        <w:t>Ajuster tous les modèles</w:t>
      </w:r>
      <w:r w:rsidRPr="001F6F0F">
        <w:rPr>
          <w:b/>
          <w:bCs/>
          <w:lang w:val="fr-FR"/>
        </w:rPr>
        <w:t>'</w:t>
      </w:r>
      <w:r w:rsidRPr="001F6F0F">
        <w:rPr>
          <w:lang w:val="fr-FR"/>
        </w:rPr>
        <w:t>. Un nouveau bouton permet à l'utilisateur d'</w:t>
      </w:r>
      <w:r w:rsidR="00AC6F66">
        <w:rPr>
          <w:lang w:val="fr-FR"/>
        </w:rPr>
        <w:t>exécuter</w:t>
      </w:r>
      <w:r w:rsidRPr="001F6F0F">
        <w:rPr>
          <w:lang w:val="fr-FR"/>
        </w:rPr>
        <w:t xml:space="preserve"> les </w:t>
      </w:r>
      <w:r w:rsidR="00E35A35">
        <w:rPr>
          <w:lang w:val="fr-FR"/>
        </w:rPr>
        <w:t>six</w:t>
      </w:r>
      <w:r w:rsidR="00E35A35" w:rsidRPr="001F6F0F">
        <w:rPr>
          <w:lang w:val="fr-FR"/>
        </w:rPr>
        <w:t xml:space="preserve"> </w:t>
      </w:r>
      <w:r w:rsidRPr="001F6F0F">
        <w:rPr>
          <w:lang w:val="fr-FR"/>
        </w:rPr>
        <w:t>modèles</w:t>
      </w:r>
      <w:r w:rsidR="00234AD6" w:rsidRPr="001F6F0F">
        <w:rPr>
          <w:lang w:val="fr-FR"/>
        </w:rPr>
        <w:t xml:space="preserve"> </w:t>
      </w:r>
      <w:r w:rsidR="001F6F0F" w:rsidRPr="001F6F0F">
        <w:rPr>
          <w:lang w:val="fr-FR"/>
        </w:rPr>
        <w:t>en une seule fois</w:t>
      </w:r>
      <w:r w:rsidR="00090676">
        <w:rPr>
          <w:lang w:val="fr-FR"/>
        </w:rPr>
        <w:t xml:space="preserve">, y compris les </w:t>
      </w:r>
      <w:r w:rsidR="005801B2">
        <w:rPr>
          <w:lang w:val="fr-FR"/>
        </w:rPr>
        <w:t>deux nouvelles options Spline</w:t>
      </w:r>
      <w:r w:rsidR="001F6F0F">
        <w:rPr>
          <w:lang w:val="fr-FR"/>
        </w:rPr>
        <w:t>.</w:t>
      </w:r>
      <w:r w:rsidRPr="001F6F0F">
        <w:rPr>
          <w:lang w:val="fr-FR"/>
        </w:rPr>
        <w:t xml:space="preserve"> </w:t>
      </w:r>
      <w:r w:rsidRPr="001F6F0F">
        <w:rPr>
          <w:lang w:val="fr-FR"/>
        </w:rPr>
        <w:br/>
      </w:r>
    </w:p>
    <w:p w14:paraId="1E939446" w14:textId="77777777" w:rsidR="00453EE8" w:rsidRPr="00733E9D" w:rsidRDefault="00501879">
      <w:pPr>
        <w:pStyle w:val="ListParagraph"/>
        <w:numPr>
          <w:ilvl w:val="0"/>
          <w:numId w:val="2"/>
        </w:numPr>
        <w:rPr>
          <w:lang w:val="fr-FR"/>
        </w:rPr>
      </w:pPr>
      <w:r w:rsidRPr="00733E9D">
        <w:rPr>
          <w:b/>
          <w:bCs/>
          <w:lang w:val="fr-FR"/>
        </w:rPr>
        <w:t>ECDC</w:t>
      </w:r>
      <w:r w:rsidRPr="00733E9D">
        <w:rPr>
          <w:lang w:val="fr-FR"/>
        </w:rPr>
        <w:t xml:space="preserve">. Spectrum </w:t>
      </w:r>
      <w:r w:rsidR="001B39A2" w:rsidRPr="00733E9D">
        <w:rPr>
          <w:lang w:val="fr-FR"/>
        </w:rPr>
        <w:t xml:space="preserve">peut désormais </w:t>
      </w:r>
      <w:r w:rsidRPr="00733E9D">
        <w:rPr>
          <w:lang w:val="fr-FR"/>
        </w:rPr>
        <w:t xml:space="preserve">lire les résultats de la version 2024 de la plateforme de modélisation de l'ECDC. </w:t>
      </w:r>
    </w:p>
    <w:p w14:paraId="37FF4A3C" w14:textId="77777777" w:rsidR="006448B0" w:rsidRPr="00733E9D" w:rsidRDefault="006448B0" w:rsidP="005D4AC7">
      <w:pPr>
        <w:pStyle w:val="Heading2"/>
        <w:rPr>
          <w:lang w:val="fr-FR"/>
        </w:rPr>
      </w:pPr>
    </w:p>
    <w:p w14:paraId="47551202" w14:textId="77777777" w:rsidR="00453EE8" w:rsidRDefault="005D4AC7">
      <w:pPr>
        <w:pStyle w:val="Heading2"/>
      </w:pPr>
      <w:proofErr w:type="spellStart"/>
      <w:r>
        <w:t>Résultats</w:t>
      </w:r>
      <w:proofErr w:type="spellEnd"/>
    </w:p>
    <w:p w14:paraId="5D01BB10" w14:textId="51E7444A" w:rsidR="00453EE8" w:rsidRPr="0047516C" w:rsidRDefault="00501879">
      <w:pPr>
        <w:pStyle w:val="ListParagraph"/>
        <w:numPr>
          <w:ilvl w:val="0"/>
          <w:numId w:val="2"/>
        </w:numPr>
        <w:rPr>
          <w:lang w:val="fr-FR"/>
        </w:rPr>
      </w:pPr>
      <w:r w:rsidRPr="0047516C">
        <w:rPr>
          <w:b/>
          <w:bCs/>
          <w:lang w:val="fr-FR"/>
        </w:rPr>
        <w:t>Cotrimoxazole pour les enfants</w:t>
      </w:r>
      <w:r w:rsidRPr="0047516C">
        <w:rPr>
          <w:lang w:val="fr-FR"/>
        </w:rPr>
        <w:t xml:space="preserve">. Le calcul des effets du cotrimoxazole sur la mortalité due au </w:t>
      </w:r>
      <w:r w:rsidR="00AA410C">
        <w:rPr>
          <w:lang w:val="fr-FR"/>
        </w:rPr>
        <w:t>S</w:t>
      </w:r>
      <w:r w:rsidR="00AC6F66">
        <w:rPr>
          <w:lang w:val="fr-FR"/>
        </w:rPr>
        <w:t>ida</w:t>
      </w:r>
      <w:r w:rsidRPr="0047516C">
        <w:rPr>
          <w:lang w:val="fr-FR"/>
        </w:rPr>
        <w:t xml:space="preserve"> chez les enfants a été déplacé plus tôt dans la séquence de projection</w:t>
      </w:r>
      <w:r w:rsidR="00FF4E81" w:rsidRPr="0047516C">
        <w:rPr>
          <w:lang w:val="fr-FR"/>
        </w:rPr>
        <w:t xml:space="preserve">, </w:t>
      </w:r>
      <w:r w:rsidRPr="0047516C">
        <w:rPr>
          <w:lang w:val="fr-FR"/>
        </w:rPr>
        <w:t xml:space="preserve">afin de saisir correctement les effets au cours de l'année de fourniture du </w:t>
      </w:r>
      <w:r w:rsidR="00521F25" w:rsidRPr="0047516C">
        <w:rPr>
          <w:lang w:val="fr-FR"/>
        </w:rPr>
        <w:t xml:space="preserve">cotrimoxazole. </w:t>
      </w:r>
      <w:r w:rsidRPr="00AA410C">
        <w:rPr>
          <w:lang w:val="fr-FR"/>
        </w:rPr>
        <w:t xml:space="preserve">Cela entraînera </w:t>
      </w:r>
      <w:r w:rsidR="00232F10" w:rsidRPr="00AA410C">
        <w:rPr>
          <w:lang w:val="fr-FR"/>
        </w:rPr>
        <w:t xml:space="preserve">une légère </w:t>
      </w:r>
      <w:r w:rsidRPr="00AA410C">
        <w:rPr>
          <w:lang w:val="fr-FR"/>
        </w:rPr>
        <w:t xml:space="preserve">modification </w:t>
      </w:r>
      <w:r w:rsidR="00232F10" w:rsidRPr="00AA410C">
        <w:rPr>
          <w:lang w:val="fr-FR"/>
        </w:rPr>
        <w:t xml:space="preserve">du </w:t>
      </w:r>
      <w:r w:rsidR="00DE1E04" w:rsidRPr="00AA410C">
        <w:rPr>
          <w:lang w:val="fr-FR"/>
        </w:rPr>
        <w:t>nombre</w:t>
      </w:r>
      <w:r w:rsidRPr="00AA410C">
        <w:rPr>
          <w:lang w:val="fr-FR"/>
        </w:rPr>
        <w:t xml:space="preserve"> estimé de décès d'enfants. </w:t>
      </w:r>
      <w:r w:rsidRPr="00BC7203">
        <w:rPr>
          <w:lang w:val="fr-FR"/>
        </w:rPr>
        <w:br/>
      </w:r>
    </w:p>
    <w:p w14:paraId="1D9A4FBC" w14:textId="2835269C" w:rsidR="00453EE8" w:rsidRPr="0047516C" w:rsidRDefault="38085EB8">
      <w:pPr>
        <w:pStyle w:val="ListParagraph"/>
        <w:numPr>
          <w:ilvl w:val="0"/>
          <w:numId w:val="2"/>
        </w:numPr>
        <w:rPr>
          <w:lang w:val="fr-FR"/>
        </w:rPr>
      </w:pPr>
      <w:r w:rsidRPr="0047516C">
        <w:rPr>
          <w:b/>
          <w:bCs/>
          <w:lang w:val="fr-FR"/>
        </w:rPr>
        <w:t>Populations clés</w:t>
      </w:r>
      <w:r w:rsidRPr="0047516C">
        <w:rPr>
          <w:lang w:val="fr-FR"/>
        </w:rPr>
        <w:t xml:space="preserve">. Si vous avez rempli votre </w:t>
      </w:r>
      <w:r w:rsidR="00BC7203">
        <w:rPr>
          <w:lang w:val="fr-FR"/>
        </w:rPr>
        <w:t>classeur</w:t>
      </w:r>
      <w:r w:rsidRPr="0047516C">
        <w:rPr>
          <w:lang w:val="fr-FR"/>
        </w:rPr>
        <w:t xml:space="preserve"> de travail</w:t>
      </w:r>
      <w:r w:rsidR="0047516C">
        <w:rPr>
          <w:lang w:val="fr-FR"/>
        </w:rPr>
        <w:t xml:space="preserve"> Excel</w:t>
      </w:r>
      <w:r w:rsidRPr="0047516C">
        <w:rPr>
          <w:lang w:val="fr-FR"/>
        </w:rPr>
        <w:t xml:space="preserve"> sur les populations clés et importé le fichier sous Statistiques du programme &gt; Populations clés, ces données et estimations sont également disponibles sous Résultats &gt; Adultes 15+ &gt; Estimations des populations clés. Les graphiques présentent les nouvelles infections, la prévalence du VIH, la couverture </w:t>
      </w:r>
      <w:r w:rsidR="00DC0961">
        <w:rPr>
          <w:lang w:val="fr-FR"/>
        </w:rPr>
        <w:t>du TAR</w:t>
      </w:r>
      <w:r w:rsidRPr="0047516C">
        <w:rPr>
          <w:lang w:val="fr-FR"/>
        </w:rPr>
        <w:t xml:space="preserve"> et les estimations de la taille de la population</w:t>
      </w:r>
      <w:r w:rsidR="00D22661">
        <w:rPr>
          <w:lang w:val="fr-FR"/>
        </w:rPr>
        <w:t xml:space="preserve"> clé</w:t>
      </w:r>
      <w:r w:rsidRPr="0047516C">
        <w:rPr>
          <w:lang w:val="fr-FR"/>
        </w:rPr>
        <w:t xml:space="preserve">. </w:t>
      </w:r>
      <w:r w:rsidR="00501879" w:rsidRPr="0047516C">
        <w:rPr>
          <w:lang w:val="fr-FR"/>
        </w:rPr>
        <w:br/>
      </w:r>
    </w:p>
    <w:p w14:paraId="257B3FE4" w14:textId="35DF6811" w:rsidR="00453EE8" w:rsidRPr="0047516C" w:rsidRDefault="00501879">
      <w:pPr>
        <w:pStyle w:val="ListParagraph"/>
        <w:numPr>
          <w:ilvl w:val="0"/>
          <w:numId w:val="2"/>
        </w:numPr>
        <w:rPr>
          <w:lang w:val="fr-FR"/>
        </w:rPr>
      </w:pPr>
      <w:r w:rsidRPr="0047516C">
        <w:rPr>
          <w:b/>
          <w:bCs/>
          <w:lang w:val="fr-FR"/>
        </w:rPr>
        <w:t xml:space="preserve">Surmortalité des </w:t>
      </w:r>
      <w:r w:rsidR="002D0FC9" w:rsidRPr="002D0FC9">
        <w:rPr>
          <w:b/>
          <w:bCs/>
          <w:lang w:val="fr-FR"/>
        </w:rPr>
        <w:t>personnes qui s'injectent des drogues</w:t>
      </w:r>
      <w:r w:rsidR="002D0FC9">
        <w:rPr>
          <w:b/>
          <w:bCs/>
          <w:lang w:val="fr-FR"/>
        </w:rPr>
        <w:t xml:space="preserve"> (UDI) </w:t>
      </w:r>
      <w:r w:rsidRPr="0047516C">
        <w:rPr>
          <w:b/>
          <w:bCs/>
          <w:lang w:val="fr-FR"/>
        </w:rPr>
        <w:t>vivant avec le VIH/sida</w:t>
      </w:r>
      <w:r w:rsidRPr="0047516C">
        <w:rPr>
          <w:lang w:val="fr-FR"/>
        </w:rPr>
        <w:t>. Spectrum inclut la surmortalité non liée au S</w:t>
      </w:r>
      <w:r w:rsidR="00A96BE0">
        <w:rPr>
          <w:lang w:val="fr-FR"/>
        </w:rPr>
        <w:t>ida</w:t>
      </w:r>
      <w:r w:rsidRPr="0047516C">
        <w:rPr>
          <w:lang w:val="fr-FR"/>
        </w:rPr>
        <w:t xml:space="preserve"> chez les </w:t>
      </w:r>
      <w:r w:rsidR="002D0FC9">
        <w:rPr>
          <w:lang w:val="fr-FR"/>
        </w:rPr>
        <w:t>UDI v</w:t>
      </w:r>
      <w:r w:rsidRPr="0047516C">
        <w:rPr>
          <w:lang w:val="fr-FR"/>
        </w:rPr>
        <w:t>ivant avec le VIH/S</w:t>
      </w:r>
      <w:r w:rsidR="00A96BE0">
        <w:rPr>
          <w:lang w:val="fr-FR"/>
        </w:rPr>
        <w:t>ida</w:t>
      </w:r>
      <w:r w:rsidRPr="0047516C">
        <w:rPr>
          <w:lang w:val="fr-FR"/>
        </w:rPr>
        <w:t xml:space="preserve">. Ce calcul est désormais limité aux fichiers utilisant EPP </w:t>
      </w:r>
      <w:r w:rsidR="00B65688" w:rsidRPr="0047516C">
        <w:rPr>
          <w:lang w:val="fr-FR"/>
        </w:rPr>
        <w:t>(</w:t>
      </w:r>
      <w:r w:rsidR="009B601D" w:rsidRPr="0047516C">
        <w:rPr>
          <w:lang w:val="fr-FR"/>
        </w:rPr>
        <w:t xml:space="preserve">avec la </w:t>
      </w:r>
      <w:r w:rsidR="00B65688" w:rsidRPr="0047516C">
        <w:rPr>
          <w:lang w:val="fr-FR"/>
        </w:rPr>
        <w:t xml:space="preserve">configuration </w:t>
      </w:r>
      <w:r w:rsidR="009B601D" w:rsidRPr="0047516C">
        <w:rPr>
          <w:i/>
          <w:iCs/>
          <w:lang w:val="fr-FR"/>
        </w:rPr>
        <w:t xml:space="preserve">Épidémie </w:t>
      </w:r>
      <w:r w:rsidR="00B65688" w:rsidRPr="0047516C">
        <w:rPr>
          <w:i/>
          <w:iCs/>
          <w:lang w:val="fr-FR"/>
        </w:rPr>
        <w:t>concentrée</w:t>
      </w:r>
      <w:r w:rsidR="00B65688" w:rsidRPr="0047516C">
        <w:rPr>
          <w:lang w:val="fr-FR"/>
        </w:rPr>
        <w:t xml:space="preserve">) </w:t>
      </w:r>
      <w:r w:rsidRPr="0047516C">
        <w:rPr>
          <w:lang w:val="fr-FR"/>
        </w:rPr>
        <w:t xml:space="preserve">ou AEM </w:t>
      </w:r>
      <w:r w:rsidR="00192661" w:rsidRPr="0047516C">
        <w:rPr>
          <w:lang w:val="fr-FR"/>
        </w:rPr>
        <w:t xml:space="preserve">qui incluent </w:t>
      </w:r>
      <w:r w:rsidR="00A00862">
        <w:rPr>
          <w:lang w:val="fr-FR"/>
        </w:rPr>
        <w:t xml:space="preserve">une estimation pour </w:t>
      </w:r>
      <w:r w:rsidR="00192661" w:rsidRPr="0047516C">
        <w:rPr>
          <w:lang w:val="fr-FR"/>
        </w:rPr>
        <w:t xml:space="preserve">les </w:t>
      </w:r>
      <w:r w:rsidR="002D0FC9">
        <w:rPr>
          <w:lang w:val="fr-FR"/>
        </w:rPr>
        <w:t>UDI</w:t>
      </w:r>
      <w:r w:rsidRPr="0047516C">
        <w:rPr>
          <w:lang w:val="fr-FR"/>
        </w:rPr>
        <w:t xml:space="preserve">. </w:t>
      </w:r>
      <w:r w:rsidRPr="0047516C">
        <w:rPr>
          <w:lang w:val="fr-FR"/>
        </w:rPr>
        <w:br/>
      </w:r>
    </w:p>
    <w:p w14:paraId="6D9C0E21" w14:textId="77777777" w:rsidR="00453EE8" w:rsidRDefault="00501879">
      <w:pPr>
        <w:pStyle w:val="Heading2"/>
      </w:pPr>
      <w:r>
        <w:t>Validation</w:t>
      </w:r>
    </w:p>
    <w:p w14:paraId="4B07B349" w14:textId="7F2D2C96" w:rsidR="00453EE8" w:rsidRPr="0047516C" w:rsidRDefault="00501879">
      <w:pPr>
        <w:pStyle w:val="ListParagraph"/>
        <w:numPr>
          <w:ilvl w:val="0"/>
          <w:numId w:val="2"/>
        </w:numPr>
        <w:rPr>
          <w:b/>
          <w:bCs/>
          <w:lang w:val="fr-FR"/>
        </w:rPr>
      </w:pPr>
      <w:r w:rsidRPr="0047516C">
        <w:rPr>
          <w:b/>
          <w:bCs/>
          <w:lang w:val="fr-FR"/>
        </w:rPr>
        <w:t xml:space="preserve">Enfants précédemment traités. </w:t>
      </w:r>
      <w:r w:rsidR="00F70453" w:rsidRPr="0047516C">
        <w:rPr>
          <w:lang w:val="fr-FR"/>
        </w:rPr>
        <w:t>Un nouvel écran de validation sous "</w:t>
      </w:r>
      <w:r w:rsidR="00A00862">
        <w:rPr>
          <w:lang w:val="fr-FR"/>
        </w:rPr>
        <w:t>T</w:t>
      </w:r>
      <w:r w:rsidR="00F70453" w:rsidRPr="0047516C">
        <w:rPr>
          <w:lang w:val="fr-FR"/>
        </w:rPr>
        <w:t xml:space="preserve">AR" </w:t>
      </w:r>
      <w:r w:rsidRPr="0047516C">
        <w:rPr>
          <w:lang w:val="fr-FR"/>
        </w:rPr>
        <w:t xml:space="preserve">montre la tendance estimée chez les enfants qui étaient précédemment sous </w:t>
      </w:r>
      <w:r w:rsidR="00A00862">
        <w:rPr>
          <w:lang w:val="fr-FR"/>
        </w:rPr>
        <w:t>T</w:t>
      </w:r>
      <w:r w:rsidRPr="0047516C">
        <w:rPr>
          <w:lang w:val="fr-FR"/>
        </w:rPr>
        <w:t>AR mais qui ne le sont p</w:t>
      </w:r>
      <w:r w:rsidR="00A00862">
        <w:rPr>
          <w:lang w:val="fr-FR"/>
        </w:rPr>
        <w:t>lus</w:t>
      </w:r>
      <w:r w:rsidRPr="0047516C">
        <w:rPr>
          <w:lang w:val="fr-FR"/>
        </w:rPr>
        <w:t xml:space="preserve">. Cet écran est </w:t>
      </w:r>
      <w:r w:rsidRPr="0047516C">
        <w:rPr>
          <w:lang w:val="fr-FR"/>
        </w:rPr>
        <w:lastRenderedPageBreak/>
        <w:t xml:space="preserve">similaire à celui des adultes. Par défaut, l'écran utilise les taux d'interruption de traitement saisis dans l'éditeur de données du programme (Statistiques du programme &gt; Traitement des enfants), mais l'utilisateur peut saisir un taux différent pour explorer la sensibilité des résultats à ce taux. </w:t>
      </w:r>
      <w:r w:rsidR="00D10E20" w:rsidRPr="0047516C">
        <w:rPr>
          <w:lang w:val="fr-FR"/>
        </w:rPr>
        <w:br/>
      </w:r>
    </w:p>
    <w:p w14:paraId="25AF56D4" w14:textId="7AD932AD" w:rsidR="00453EE8" w:rsidRPr="00C151D3" w:rsidRDefault="00501879">
      <w:pPr>
        <w:pStyle w:val="ListParagraph"/>
        <w:numPr>
          <w:ilvl w:val="0"/>
          <w:numId w:val="2"/>
        </w:numPr>
        <w:rPr>
          <w:lang w:val="fr-FR"/>
        </w:rPr>
      </w:pPr>
      <w:r w:rsidRPr="0047516C">
        <w:rPr>
          <w:b/>
          <w:bCs/>
          <w:lang w:val="fr-FR"/>
        </w:rPr>
        <w:t xml:space="preserve">Couverture du </w:t>
      </w:r>
      <w:r w:rsidR="00A00862">
        <w:rPr>
          <w:b/>
          <w:bCs/>
          <w:lang w:val="fr-FR"/>
        </w:rPr>
        <w:t>TAR</w:t>
      </w:r>
      <w:r w:rsidR="00F87224" w:rsidRPr="0047516C">
        <w:rPr>
          <w:b/>
          <w:bCs/>
          <w:lang w:val="fr-FR"/>
        </w:rPr>
        <w:t xml:space="preserve">, à </w:t>
      </w:r>
      <w:r w:rsidR="001206A6" w:rsidRPr="0047516C">
        <w:rPr>
          <w:b/>
          <w:bCs/>
          <w:lang w:val="fr-FR"/>
        </w:rPr>
        <w:t xml:space="preserve">partir du </w:t>
      </w:r>
      <w:r w:rsidR="00F87224" w:rsidRPr="0047516C">
        <w:rPr>
          <w:b/>
          <w:bCs/>
          <w:lang w:val="fr-FR"/>
        </w:rPr>
        <w:t xml:space="preserve">programme </w:t>
      </w:r>
      <w:r w:rsidR="00841099" w:rsidRPr="0047516C">
        <w:rPr>
          <w:b/>
          <w:bCs/>
          <w:lang w:val="fr-FR"/>
        </w:rPr>
        <w:t>et de l'</w:t>
      </w:r>
      <w:r w:rsidR="00F87224" w:rsidRPr="0047516C">
        <w:rPr>
          <w:b/>
          <w:bCs/>
          <w:lang w:val="fr-FR"/>
        </w:rPr>
        <w:t>enquête</w:t>
      </w:r>
      <w:r w:rsidR="005B74C5" w:rsidRPr="0047516C">
        <w:rPr>
          <w:lang w:val="fr-FR"/>
        </w:rPr>
        <w:t xml:space="preserve">. De nouveaux </w:t>
      </w:r>
      <w:r w:rsidR="008057E2" w:rsidRPr="0047516C">
        <w:rPr>
          <w:lang w:val="fr-FR"/>
        </w:rPr>
        <w:t xml:space="preserve">graphiques </w:t>
      </w:r>
      <w:r w:rsidR="005B74C5" w:rsidRPr="0047516C">
        <w:rPr>
          <w:lang w:val="fr-FR"/>
        </w:rPr>
        <w:t xml:space="preserve">comparent la </w:t>
      </w:r>
      <w:r w:rsidR="00271CBE" w:rsidRPr="0047516C">
        <w:rPr>
          <w:lang w:val="fr-FR"/>
        </w:rPr>
        <w:t xml:space="preserve">couverture des </w:t>
      </w:r>
      <w:r w:rsidR="005B74C5" w:rsidRPr="0047516C">
        <w:rPr>
          <w:lang w:val="fr-FR"/>
        </w:rPr>
        <w:t xml:space="preserve">personnes sous TAR </w:t>
      </w:r>
      <w:r w:rsidR="002C2556" w:rsidRPr="0047516C">
        <w:rPr>
          <w:lang w:val="fr-FR"/>
        </w:rPr>
        <w:t xml:space="preserve">entre les </w:t>
      </w:r>
      <w:r w:rsidR="005B74C5" w:rsidRPr="0047516C">
        <w:rPr>
          <w:lang w:val="fr-FR"/>
        </w:rPr>
        <w:t xml:space="preserve">données du programme (entrées sous Statistiques du programme &gt; TAR pour adultes) </w:t>
      </w:r>
      <w:r w:rsidR="002C2556" w:rsidRPr="0047516C">
        <w:rPr>
          <w:lang w:val="fr-FR"/>
        </w:rPr>
        <w:t xml:space="preserve">et les estimations </w:t>
      </w:r>
      <w:r w:rsidR="005B74C5" w:rsidRPr="0047516C">
        <w:rPr>
          <w:lang w:val="fr-FR"/>
        </w:rPr>
        <w:t xml:space="preserve">basées sur une enquête nationale (PHIA ou </w:t>
      </w:r>
      <w:r w:rsidR="00A00862">
        <w:rPr>
          <w:lang w:val="fr-FR"/>
        </w:rPr>
        <w:t>E</w:t>
      </w:r>
      <w:r w:rsidR="005B74C5" w:rsidRPr="0047516C">
        <w:rPr>
          <w:lang w:val="fr-FR"/>
        </w:rPr>
        <w:t>DS). Spectrum</w:t>
      </w:r>
      <w:r w:rsidR="002C2556" w:rsidRPr="0047516C">
        <w:rPr>
          <w:lang w:val="fr-FR"/>
        </w:rPr>
        <w:t xml:space="preserve"> </w:t>
      </w:r>
      <w:r w:rsidR="00D62BE8">
        <w:rPr>
          <w:lang w:val="fr-FR"/>
        </w:rPr>
        <w:t>obtient</w:t>
      </w:r>
      <w:r w:rsidR="002C2556" w:rsidRPr="0047516C">
        <w:rPr>
          <w:lang w:val="fr-FR"/>
        </w:rPr>
        <w:t xml:space="preserve"> </w:t>
      </w:r>
      <w:r w:rsidR="005B74C5" w:rsidRPr="0047516C">
        <w:rPr>
          <w:lang w:val="fr-FR"/>
        </w:rPr>
        <w:t xml:space="preserve">l'estimation de la </w:t>
      </w:r>
      <w:r w:rsidR="00271CBE" w:rsidRPr="0047516C">
        <w:rPr>
          <w:lang w:val="fr-FR"/>
        </w:rPr>
        <w:t xml:space="preserve">couverture </w:t>
      </w:r>
      <w:r w:rsidR="005B74C5" w:rsidRPr="0047516C">
        <w:rPr>
          <w:lang w:val="fr-FR"/>
        </w:rPr>
        <w:t xml:space="preserve">basée </w:t>
      </w:r>
      <w:r w:rsidR="002C2556" w:rsidRPr="0047516C">
        <w:rPr>
          <w:lang w:val="fr-FR"/>
        </w:rPr>
        <w:t>sur</w:t>
      </w:r>
      <w:r w:rsidR="005B74C5" w:rsidRPr="0047516C">
        <w:rPr>
          <w:lang w:val="fr-FR"/>
        </w:rPr>
        <w:t xml:space="preserve"> l'enquête en multipliant la proportion de personnes sous TAR de l'enquête par </w:t>
      </w:r>
      <w:r w:rsidR="002C2556" w:rsidRPr="0047516C">
        <w:rPr>
          <w:lang w:val="fr-FR"/>
        </w:rPr>
        <w:t xml:space="preserve">le nombre estimé </w:t>
      </w:r>
      <w:r w:rsidR="005B74C5" w:rsidRPr="0047516C">
        <w:rPr>
          <w:lang w:val="fr-FR"/>
        </w:rPr>
        <w:t xml:space="preserve">de personnes </w:t>
      </w:r>
      <w:r w:rsidR="007B6884" w:rsidRPr="0047516C">
        <w:rPr>
          <w:lang w:val="fr-FR"/>
        </w:rPr>
        <w:t>vivant avec le VIH</w:t>
      </w:r>
      <w:r w:rsidR="00C151D3">
        <w:rPr>
          <w:lang w:val="fr-FR"/>
        </w:rPr>
        <w:t>,</w:t>
      </w:r>
      <w:r w:rsidR="007B6884" w:rsidRPr="0047516C">
        <w:rPr>
          <w:lang w:val="fr-FR"/>
        </w:rPr>
        <w:t xml:space="preserve"> </w:t>
      </w:r>
      <w:r w:rsidR="005B74C5" w:rsidRPr="0047516C">
        <w:rPr>
          <w:lang w:val="fr-FR"/>
        </w:rPr>
        <w:t>par âge et par sexe.</w:t>
      </w:r>
      <w:r w:rsidR="001077A7" w:rsidRPr="0047516C">
        <w:rPr>
          <w:lang w:val="fr-FR"/>
        </w:rPr>
        <w:t xml:space="preserve"> </w:t>
      </w:r>
      <w:r w:rsidR="001077A7" w:rsidRPr="00C151D3">
        <w:rPr>
          <w:lang w:val="fr-FR"/>
        </w:rPr>
        <w:t>Trois affichages sont disponibles pour cette validation :</w:t>
      </w:r>
      <w:r w:rsidR="00C151D3">
        <w:rPr>
          <w:lang w:val="fr-FR"/>
        </w:rPr>
        <w:br/>
      </w:r>
    </w:p>
    <w:p w14:paraId="171584F3" w14:textId="58EE80D7" w:rsidR="00453EE8" w:rsidRPr="0047516C" w:rsidRDefault="00501879">
      <w:pPr>
        <w:pStyle w:val="ListParagraph"/>
        <w:numPr>
          <w:ilvl w:val="1"/>
          <w:numId w:val="6"/>
        </w:numPr>
        <w:rPr>
          <w:lang w:val="fr-FR"/>
        </w:rPr>
      </w:pPr>
      <w:r w:rsidRPr="0047516C">
        <w:rPr>
          <w:lang w:val="fr-FR"/>
        </w:rPr>
        <w:t xml:space="preserve">Couverture </w:t>
      </w:r>
      <w:r w:rsidR="00C151D3">
        <w:rPr>
          <w:lang w:val="fr-FR"/>
        </w:rPr>
        <w:t>T</w:t>
      </w:r>
      <w:r w:rsidRPr="0047516C">
        <w:rPr>
          <w:lang w:val="fr-FR"/>
        </w:rPr>
        <w:t>A</w:t>
      </w:r>
      <w:r w:rsidR="00C151D3">
        <w:rPr>
          <w:lang w:val="fr-FR"/>
        </w:rPr>
        <w:t>R</w:t>
      </w:r>
      <w:r w:rsidRPr="0047516C">
        <w:rPr>
          <w:lang w:val="fr-FR"/>
        </w:rPr>
        <w:t xml:space="preserve"> par âge </w:t>
      </w:r>
      <w:r w:rsidR="00883BF1" w:rsidRPr="0047516C">
        <w:rPr>
          <w:lang w:val="fr-FR"/>
        </w:rPr>
        <w:t xml:space="preserve">(pour </w:t>
      </w:r>
      <w:r w:rsidR="00987377">
        <w:rPr>
          <w:lang w:val="fr-FR"/>
        </w:rPr>
        <w:t>une</w:t>
      </w:r>
      <w:r w:rsidR="00883BF1" w:rsidRPr="0047516C">
        <w:rPr>
          <w:lang w:val="fr-FR"/>
        </w:rPr>
        <w:t xml:space="preserve"> année d'enquête)</w:t>
      </w:r>
    </w:p>
    <w:p w14:paraId="1CB67747" w14:textId="50D19D42" w:rsidR="00453EE8" w:rsidRPr="0047516C" w:rsidRDefault="00501879">
      <w:pPr>
        <w:pStyle w:val="ListParagraph"/>
        <w:numPr>
          <w:ilvl w:val="1"/>
          <w:numId w:val="6"/>
        </w:numPr>
        <w:rPr>
          <w:lang w:val="fr-FR"/>
        </w:rPr>
      </w:pPr>
      <w:r w:rsidRPr="0047516C">
        <w:rPr>
          <w:lang w:val="fr-FR"/>
        </w:rPr>
        <w:t xml:space="preserve">Couverture </w:t>
      </w:r>
      <w:r w:rsidR="00C151D3">
        <w:rPr>
          <w:lang w:val="fr-FR"/>
        </w:rPr>
        <w:t>T</w:t>
      </w:r>
      <w:r w:rsidRPr="0047516C">
        <w:rPr>
          <w:lang w:val="fr-FR"/>
        </w:rPr>
        <w:t xml:space="preserve">AR </w:t>
      </w:r>
      <w:r w:rsidR="009E3563">
        <w:rPr>
          <w:lang w:val="fr-FR"/>
        </w:rPr>
        <w:t>au fil du</w:t>
      </w:r>
      <w:r w:rsidRPr="0047516C">
        <w:rPr>
          <w:lang w:val="fr-FR"/>
        </w:rPr>
        <w:t xml:space="preserve"> temps </w:t>
      </w:r>
      <w:r w:rsidR="00883BF1" w:rsidRPr="0047516C">
        <w:rPr>
          <w:lang w:val="fr-FR"/>
        </w:rPr>
        <w:t>(montrant toutes les enquêtes</w:t>
      </w:r>
      <w:r w:rsidR="002220CB" w:rsidRPr="0047516C">
        <w:rPr>
          <w:lang w:val="fr-FR"/>
        </w:rPr>
        <w:t>, si elles ont mesuré la couverture pour le groupe d'âge sélectionné)</w:t>
      </w:r>
    </w:p>
    <w:p w14:paraId="52A363D2" w14:textId="148ACF10" w:rsidR="00453EE8" w:rsidRPr="0047516C" w:rsidRDefault="00501879">
      <w:pPr>
        <w:pStyle w:val="ListParagraph"/>
        <w:numPr>
          <w:ilvl w:val="1"/>
          <w:numId w:val="6"/>
        </w:numPr>
        <w:rPr>
          <w:lang w:val="fr-FR"/>
        </w:rPr>
      </w:pPr>
      <w:r w:rsidRPr="0047516C">
        <w:rPr>
          <w:lang w:val="fr-FR"/>
        </w:rPr>
        <w:t xml:space="preserve">Nombre de personnes sous </w:t>
      </w:r>
      <w:r>
        <w:rPr>
          <w:lang w:val="fr-FR"/>
        </w:rPr>
        <w:t>TAR</w:t>
      </w:r>
      <w:r w:rsidRPr="0047516C">
        <w:rPr>
          <w:lang w:val="fr-FR"/>
        </w:rPr>
        <w:t xml:space="preserve"> </w:t>
      </w:r>
      <w:r w:rsidR="002220CB" w:rsidRPr="0047516C">
        <w:rPr>
          <w:lang w:val="fr-FR"/>
        </w:rPr>
        <w:t>(pour une année d'enquête).</w:t>
      </w:r>
      <w:r w:rsidR="006F5967" w:rsidRPr="0047516C">
        <w:rPr>
          <w:lang w:val="fr-FR"/>
        </w:rPr>
        <w:br/>
      </w:r>
    </w:p>
    <w:p w14:paraId="1BEB877B" w14:textId="3D43DBFD" w:rsidR="00453EE8" w:rsidRPr="0047516C" w:rsidRDefault="00501879">
      <w:pPr>
        <w:pStyle w:val="ListParagraph"/>
        <w:numPr>
          <w:ilvl w:val="0"/>
          <w:numId w:val="2"/>
        </w:numPr>
        <w:rPr>
          <w:lang w:val="fr-FR"/>
        </w:rPr>
      </w:pPr>
      <w:r w:rsidRPr="0047516C">
        <w:rPr>
          <w:b/>
          <w:bCs/>
          <w:lang w:val="fr-FR"/>
        </w:rPr>
        <w:t xml:space="preserve">Couverture </w:t>
      </w:r>
      <w:r w:rsidR="00A00862">
        <w:rPr>
          <w:b/>
          <w:bCs/>
          <w:lang w:val="fr-FR"/>
        </w:rPr>
        <w:t>du T</w:t>
      </w:r>
      <w:r w:rsidRPr="0047516C">
        <w:rPr>
          <w:b/>
          <w:bCs/>
          <w:lang w:val="fr-FR"/>
        </w:rPr>
        <w:t xml:space="preserve">AR </w:t>
      </w:r>
      <w:r w:rsidR="006900AA" w:rsidRPr="0047516C">
        <w:rPr>
          <w:b/>
          <w:bCs/>
          <w:lang w:val="fr-FR"/>
        </w:rPr>
        <w:t xml:space="preserve">à partir des </w:t>
      </w:r>
      <w:r w:rsidR="00C9627E" w:rsidRPr="0047516C">
        <w:rPr>
          <w:b/>
          <w:bCs/>
          <w:lang w:val="fr-FR"/>
        </w:rPr>
        <w:t xml:space="preserve">données du </w:t>
      </w:r>
      <w:r w:rsidR="006900AA" w:rsidRPr="0047516C">
        <w:rPr>
          <w:b/>
          <w:bCs/>
          <w:lang w:val="fr-FR"/>
        </w:rPr>
        <w:t>programme</w:t>
      </w:r>
      <w:r w:rsidR="003A45BA">
        <w:rPr>
          <w:b/>
          <w:bCs/>
          <w:lang w:val="fr-FR"/>
        </w:rPr>
        <w:t xml:space="preserve"> national</w:t>
      </w:r>
      <w:r w:rsidR="006900AA" w:rsidRPr="0047516C">
        <w:rPr>
          <w:b/>
          <w:bCs/>
          <w:lang w:val="fr-FR"/>
        </w:rPr>
        <w:t xml:space="preserve"> </w:t>
      </w:r>
      <w:r>
        <w:rPr>
          <w:b/>
          <w:bCs/>
          <w:lang w:val="fr-FR"/>
        </w:rPr>
        <w:t xml:space="preserve">et prédite selon les </w:t>
      </w:r>
      <w:r w:rsidR="00C9627E" w:rsidRPr="0047516C">
        <w:rPr>
          <w:b/>
          <w:bCs/>
          <w:lang w:val="fr-FR"/>
        </w:rPr>
        <w:t xml:space="preserve">données </w:t>
      </w:r>
      <w:r w:rsidR="00392958">
        <w:rPr>
          <w:b/>
          <w:bCs/>
          <w:lang w:val="fr-FR"/>
        </w:rPr>
        <w:t xml:space="preserve">de routine </w:t>
      </w:r>
      <w:r w:rsidR="00C9627E" w:rsidRPr="0047516C">
        <w:rPr>
          <w:b/>
          <w:bCs/>
          <w:lang w:val="fr-FR"/>
        </w:rPr>
        <w:t xml:space="preserve">des </w:t>
      </w:r>
      <w:r w:rsidR="0007006E" w:rsidRPr="0047516C">
        <w:rPr>
          <w:b/>
          <w:bCs/>
          <w:lang w:val="fr-FR"/>
        </w:rPr>
        <w:t>centres de soins prénatals</w:t>
      </w:r>
      <w:r w:rsidR="003A45BA">
        <w:rPr>
          <w:b/>
          <w:bCs/>
          <w:lang w:val="fr-FR"/>
        </w:rPr>
        <w:t xml:space="preserve"> (CPN)</w:t>
      </w:r>
      <w:r w:rsidRPr="0047516C">
        <w:rPr>
          <w:lang w:val="fr-FR"/>
        </w:rPr>
        <w:t xml:space="preserve">. Un nouvel affichage compare la couverture </w:t>
      </w:r>
      <w:r>
        <w:rPr>
          <w:lang w:val="fr-FR"/>
        </w:rPr>
        <w:t>T</w:t>
      </w:r>
      <w:r w:rsidRPr="0047516C">
        <w:rPr>
          <w:lang w:val="fr-FR"/>
        </w:rPr>
        <w:t xml:space="preserve">AR des </w:t>
      </w:r>
      <w:r w:rsidR="007B48EC" w:rsidRPr="0047516C">
        <w:rPr>
          <w:lang w:val="fr-FR"/>
        </w:rPr>
        <w:t xml:space="preserve">adultes </w:t>
      </w:r>
      <w:r w:rsidRPr="0047516C">
        <w:rPr>
          <w:lang w:val="fr-FR"/>
        </w:rPr>
        <w:t xml:space="preserve">estimée </w:t>
      </w:r>
      <w:r w:rsidR="007B48EC" w:rsidRPr="0047516C">
        <w:rPr>
          <w:lang w:val="fr-FR"/>
        </w:rPr>
        <w:t xml:space="preserve">par Spectrum </w:t>
      </w:r>
      <w:r w:rsidRPr="0047516C">
        <w:rPr>
          <w:lang w:val="fr-FR"/>
        </w:rPr>
        <w:t>à partir des données du programme</w:t>
      </w:r>
      <w:r w:rsidR="003A45BA">
        <w:rPr>
          <w:lang w:val="fr-FR"/>
        </w:rPr>
        <w:t xml:space="preserve"> national</w:t>
      </w:r>
      <w:r w:rsidRPr="0047516C">
        <w:rPr>
          <w:lang w:val="fr-FR"/>
        </w:rPr>
        <w:t xml:space="preserve"> avec une prédiction basée sur la proportion de femmes enceintes séropositives déjà sous </w:t>
      </w:r>
      <w:r>
        <w:rPr>
          <w:lang w:val="fr-FR"/>
        </w:rPr>
        <w:t>T</w:t>
      </w:r>
      <w:r w:rsidRPr="0047516C">
        <w:rPr>
          <w:lang w:val="fr-FR"/>
        </w:rPr>
        <w:t xml:space="preserve">AR </w:t>
      </w:r>
      <w:r w:rsidR="00ED1551" w:rsidRPr="0047516C">
        <w:rPr>
          <w:lang w:val="fr-FR"/>
        </w:rPr>
        <w:t xml:space="preserve">avant la grossesse en cours </w:t>
      </w:r>
      <w:r w:rsidR="007B48EC" w:rsidRPr="0047516C">
        <w:rPr>
          <w:lang w:val="fr-FR"/>
        </w:rPr>
        <w:t>(entrée sous Statistiques du programme &gt; PTME)</w:t>
      </w:r>
      <w:r w:rsidRPr="0047516C">
        <w:rPr>
          <w:lang w:val="fr-FR"/>
        </w:rPr>
        <w:t xml:space="preserve">. </w:t>
      </w:r>
      <w:r w:rsidRPr="0047516C">
        <w:rPr>
          <w:lang w:val="fr-FR"/>
        </w:rPr>
        <w:br/>
      </w:r>
      <w:r w:rsidR="00547B39" w:rsidRPr="0047516C">
        <w:rPr>
          <w:lang w:val="fr-FR"/>
        </w:rPr>
        <w:t xml:space="preserve">Cette </w:t>
      </w:r>
      <w:r w:rsidR="00B127AA" w:rsidRPr="0047516C">
        <w:rPr>
          <w:lang w:val="fr-FR"/>
        </w:rPr>
        <w:t xml:space="preserve">validation </w:t>
      </w:r>
      <w:r w:rsidR="00547B39" w:rsidRPr="0047516C">
        <w:rPr>
          <w:lang w:val="fr-FR"/>
        </w:rPr>
        <w:t xml:space="preserve">est recommandée pour les </w:t>
      </w:r>
      <w:r w:rsidR="009E3988" w:rsidRPr="0047516C">
        <w:rPr>
          <w:lang w:val="fr-FR"/>
        </w:rPr>
        <w:t xml:space="preserve">pays d'Afrique subsaharienne. </w:t>
      </w:r>
      <w:r w:rsidRPr="0047516C">
        <w:rPr>
          <w:lang w:val="fr-FR"/>
        </w:rPr>
        <w:t>Si la prédiction et l'estimation basée sur le programme ne sont pas proches</w:t>
      </w:r>
      <w:r w:rsidR="007B48EC" w:rsidRPr="0047516C">
        <w:rPr>
          <w:lang w:val="fr-FR"/>
        </w:rPr>
        <w:t xml:space="preserve">, </w:t>
      </w:r>
      <w:r w:rsidRPr="0047516C">
        <w:rPr>
          <w:lang w:val="fr-FR"/>
        </w:rPr>
        <w:t xml:space="preserve">cela peut indiquer des </w:t>
      </w:r>
      <w:r w:rsidR="006448B0" w:rsidRPr="0047516C">
        <w:rPr>
          <w:lang w:val="fr-FR"/>
        </w:rPr>
        <w:t xml:space="preserve">problèmes avec l'une des sources. </w:t>
      </w:r>
    </w:p>
    <w:sectPr w:rsidR="00453EE8" w:rsidRPr="0047516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E625" w14:textId="77777777" w:rsidR="00EF65B3" w:rsidRDefault="00EF65B3" w:rsidP="00366C1E">
      <w:pPr>
        <w:spacing w:after="0" w:line="240" w:lineRule="auto"/>
      </w:pPr>
      <w:r>
        <w:separator/>
      </w:r>
    </w:p>
  </w:endnote>
  <w:endnote w:type="continuationSeparator" w:id="0">
    <w:p w14:paraId="5A2C9D57" w14:textId="77777777" w:rsidR="00EF65B3" w:rsidRDefault="00EF65B3" w:rsidP="00366C1E">
      <w:pPr>
        <w:spacing w:after="0" w:line="240" w:lineRule="auto"/>
      </w:pPr>
      <w:r>
        <w:continuationSeparator/>
      </w:r>
    </w:p>
  </w:endnote>
  <w:endnote w:type="continuationNotice" w:id="1">
    <w:p w14:paraId="2B360271" w14:textId="77777777" w:rsidR="00EF65B3" w:rsidRDefault="00EF6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01942"/>
      <w:docPartObj>
        <w:docPartGallery w:val="Page Numbers (Bottom of Page)"/>
        <w:docPartUnique/>
      </w:docPartObj>
    </w:sdtPr>
    <w:sdtEndPr>
      <w:rPr>
        <w:noProof/>
      </w:rPr>
    </w:sdtEndPr>
    <w:sdtContent>
      <w:p w14:paraId="2903CBC8" w14:textId="77777777" w:rsidR="00453EE8" w:rsidRDefault="005018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BF33BF" w14:textId="77777777" w:rsidR="00366C1E" w:rsidRDefault="0036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54FE" w14:textId="77777777" w:rsidR="00EF65B3" w:rsidRDefault="00EF65B3" w:rsidP="00366C1E">
      <w:pPr>
        <w:spacing w:after="0" w:line="240" w:lineRule="auto"/>
      </w:pPr>
      <w:r>
        <w:separator/>
      </w:r>
    </w:p>
  </w:footnote>
  <w:footnote w:type="continuationSeparator" w:id="0">
    <w:p w14:paraId="4C193F4D" w14:textId="77777777" w:rsidR="00EF65B3" w:rsidRDefault="00EF65B3" w:rsidP="00366C1E">
      <w:pPr>
        <w:spacing w:after="0" w:line="240" w:lineRule="auto"/>
      </w:pPr>
      <w:r>
        <w:continuationSeparator/>
      </w:r>
    </w:p>
  </w:footnote>
  <w:footnote w:type="continuationNotice" w:id="1">
    <w:p w14:paraId="776B3B95" w14:textId="77777777" w:rsidR="00EF65B3" w:rsidRDefault="00EF65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B75"/>
    <w:multiLevelType w:val="hybridMultilevel"/>
    <w:tmpl w:val="28440E5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7CD0444"/>
    <w:multiLevelType w:val="hybridMultilevel"/>
    <w:tmpl w:val="9B3CE272"/>
    <w:lvl w:ilvl="0" w:tplc="B49C53D4">
      <w:start w:val="1"/>
      <w:numFmt w:val="bullet"/>
      <w:lvlText w:val=""/>
      <w:lvlJc w:val="left"/>
      <w:pPr>
        <w:ind w:left="720" w:hanging="360"/>
      </w:pPr>
      <w:rPr>
        <w:rFonts w:ascii="Symbol" w:hAnsi="Symbol"/>
      </w:rPr>
    </w:lvl>
    <w:lvl w:ilvl="1" w:tplc="49140FF6">
      <w:start w:val="1"/>
      <w:numFmt w:val="bullet"/>
      <w:lvlText w:val=""/>
      <w:lvlJc w:val="left"/>
      <w:pPr>
        <w:ind w:left="720" w:hanging="360"/>
      </w:pPr>
      <w:rPr>
        <w:rFonts w:ascii="Symbol" w:hAnsi="Symbol"/>
      </w:rPr>
    </w:lvl>
    <w:lvl w:ilvl="2" w:tplc="C1D219DE">
      <w:start w:val="1"/>
      <w:numFmt w:val="bullet"/>
      <w:lvlText w:val=""/>
      <w:lvlJc w:val="left"/>
      <w:pPr>
        <w:ind w:left="720" w:hanging="360"/>
      </w:pPr>
      <w:rPr>
        <w:rFonts w:ascii="Symbol" w:hAnsi="Symbol"/>
      </w:rPr>
    </w:lvl>
    <w:lvl w:ilvl="3" w:tplc="CFE29788">
      <w:start w:val="1"/>
      <w:numFmt w:val="bullet"/>
      <w:lvlText w:val=""/>
      <w:lvlJc w:val="left"/>
      <w:pPr>
        <w:ind w:left="720" w:hanging="360"/>
      </w:pPr>
      <w:rPr>
        <w:rFonts w:ascii="Symbol" w:hAnsi="Symbol"/>
      </w:rPr>
    </w:lvl>
    <w:lvl w:ilvl="4" w:tplc="D144A426">
      <w:start w:val="1"/>
      <w:numFmt w:val="bullet"/>
      <w:lvlText w:val=""/>
      <w:lvlJc w:val="left"/>
      <w:pPr>
        <w:ind w:left="720" w:hanging="360"/>
      </w:pPr>
      <w:rPr>
        <w:rFonts w:ascii="Symbol" w:hAnsi="Symbol"/>
      </w:rPr>
    </w:lvl>
    <w:lvl w:ilvl="5" w:tplc="CF00E46E">
      <w:start w:val="1"/>
      <w:numFmt w:val="bullet"/>
      <w:lvlText w:val=""/>
      <w:lvlJc w:val="left"/>
      <w:pPr>
        <w:ind w:left="720" w:hanging="360"/>
      </w:pPr>
      <w:rPr>
        <w:rFonts w:ascii="Symbol" w:hAnsi="Symbol"/>
      </w:rPr>
    </w:lvl>
    <w:lvl w:ilvl="6" w:tplc="0E681A2A">
      <w:start w:val="1"/>
      <w:numFmt w:val="bullet"/>
      <w:lvlText w:val=""/>
      <w:lvlJc w:val="left"/>
      <w:pPr>
        <w:ind w:left="720" w:hanging="360"/>
      </w:pPr>
      <w:rPr>
        <w:rFonts w:ascii="Symbol" w:hAnsi="Symbol"/>
      </w:rPr>
    </w:lvl>
    <w:lvl w:ilvl="7" w:tplc="2556D0CA">
      <w:start w:val="1"/>
      <w:numFmt w:val="bullet"/>
      <w:lvlText w:val=""/>
      <w:lvlJc w:val="left"/>
      <w:pPr>
        <w:ind w:left="720" w:hanging="360"/>
      </w:pPr>
      <w:rPr>
        <w:rFonts w:ascii="Symbol" w:hAnsi="Symbol"/>
      </w:rPr>
    </w:lvl>
    <w:lvl w:ilvl="8" w:tplc="5536741C">
      <w:start w:val="1"/>
      <w:numFmt w:val="bullet"/>
      <w:lvlText w:val=""/>
      <w:lvlJc w:val="left"/>
      <w:pPr>
        <w:ind w:left="720" w:hanging="360"/>
      </w:pPr>
      <w:rPr>
        <w:rFonts w:ascii="Symbol" w:hAnsi="Symbol"/>
      </w:rPr>
    </w:lvl>
  </w:abstractNum>
  <w:abstractNum w:abstractNumId="2" w15:restartNumberingAfterBreak="0">
    <w:nsid w:val="3BAB5574"/>
    <w:multiLevelType w:val="hybridMultilevel"/>
    <w:tmpl w:val="C078518E"/>
    <w:lvl w:ilvl="0" w:tplc="FFFFFFFF">
      <w:start w:val="1"/>
      <w:numFmt w:val="decimal"/>
      <w:lvlText w:val="%1."/>
      <w:lvlJc w:val="left"/>
      <w:pPr>
        <w:ind w:left="360" w:hanging="360"/>
      </w:pPr>
      <w:rPr>
        <w:rFonts w:hint="default"/>
      </w:rPr>
    </w:lvl>
    <w:lvl w:ilvl="1" w:tplc="2000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C2C3BDB"/>
    <w:multiLevelType w:val="hybridMultilevel"/>
    <w:tmpl w:val="470C1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B74D6"/>
    <w:multiLevelType w:val="hybridMultilevel"/>
    <w:tmpl w:val="23C0FBCA"/>
    <w:lvl w:ilvl="0" w:tplc="03D088DA">
      <w:start w:val="1"/>
      <w:numFmt w:val="bullet"/>
      <w:lvlText w:val=""/>
      <w:lvlJc w:val="left"/>
      <w:pPr>
        <w:ind w:left="720" w:hanging="360"/>
      </w:pPr>
      <w:rPr>
        <w:rFonts w:ascii="Symbol" w:hAnsi="Symbol"/>
      </w:rPr>
    </w:lvl>
    <w:lvl w:ilvl="1" w:tplc="B06224D6">
      <w:start w:val="1"/>
      <w:numFmt w:val="bullet"/>
      <w:lvlText w:val=""/>
      <w:lvlJc w:val="left"/>
      <w:pPr>
        <w:ind w:left="720" w:hanging="360"/>
      </w:pPr>
      <w:rPr>
        <w:rFonts w:ascii="Symbol" w:hAnsi="Symbol"/>
      </w:rPr>
    </w:lvl>
    <w:lvl w:ilvl="2" w:tplc="AB92AFF0">
      <w:start w:val="1"/>
      <w:numFmt w:val="bullet"/>
      <w:lvlText w:val=""/>
      <w:lvlJc w:val="left"/>
      <w:pPr>
        <w:ind w:left="720" w:hanging="360"/>
      </w:pPr>
      <w:rPr>
        <w:rFonts w:ascii="Symbol" w:hAnsi="Symbol"/>
      </w:rPr>
    </w:lvl>
    <w:lvl w:ilvl="3" w:tplc="3A52C98E">
      <w:start w:val="1"/>
      <w:numFmt w:val="bullet"/>
      <w:lvlText w:val=""/>
      <w:lvlJc w:val="left"/>
      <w:pPr>
        <w:ind w:left="720" w:hanging="360"/>
      </w:pPr>
      <w:rPr>
        <w:rFonts w:ascii="Symbol" w:hAnsi="Symbol"/>
      </w:rPr>
    </w:lvl>
    <w:lvl w:ilvl="4" w:tplc="FAA63AB0">
      <w:start w:val="1"/>
      <w:numFmt w:val="bullet"/>
      <w:lvlText w:val=""/>
      <w:lvlJc w:val="left"/>
      <w:pPr>
        <w:ind w:left="720" w:hanging="360"/>
      </w:pPr>
      <w:rPr>
        <w:rFonts w:ascii="Symbol" w:hAnsi="Symbol"/>
      </w:rPr>
    </w:lvl>
    <w:lvl w:ilvl="5" w:tplc="FCB66084">
      <w:start w:val="1"/>
      <w:numFmt w:val="bullet"/>
      <w:lvlText w:val=""/>
      <w:lvlJc w:val="left"/>
      <w:pPr>
        <w:ind w:left="720" w:hanging="360"/>
      </w:pPr>
      <w:rPr>
        <w:rFonts w:ascii="Symbol" w:hAnsi="Symbol"/>
      </w:rPr>
    </w:lvl>
    <w:lvl w:ilvl="6" w:tplc="1A9C165E">
      <w:start w:val="1"/>
      <w:numFmt w:val="bullet"/>
      <w:lvlText w:val=""/>
      <w:lvlJc w:val="left"/>
      <w:pPr>
        <w:ind w:left="720" w:hanging="360"/>
      </w:pPr>
      <w:rPr>
        <w:rFonts w:ascii="Symbol" w:hAnsi="Symbol"/>
      </w:rPr>
    </w:lvl>
    <w:lvl w:ilvl="7" w:tplc="534031FE">
      <w:start w:val="1"/>
      <w:numFmt w:val="bullet"/>
      <w:lvlText w:val=""/>
      <w:lvlJc w:val="left"/>
      <w:pPr>
        <w:ind w:left="720" w:hanging="360"/>
      </w:pPr>
      <w:rPr>
        <w:rFonts w:ascii="Symbol" w:hAnsi="Symbol"/>
      </w:rPr>
    </w:lvl>
    <w:lvl w:ilvl="8" w:tplc="43AC90D4">
      <w:start w:val="1"/>
      <w:numFmt w:val="bullet"/>
      <w:lvlText w:val=""/>
      <w:lvlJc w:val="left"/>
      <w:pPr>
        <w:ind w:left="720" w:hanging="360"/>
      </w:pPr>
      <w:rPr>
        <w:rFonts w:ascii="Symbol" w:hAnsi="Symbol"/>
      </w:rPr>
    </w:lvl>
  </w:abstractNum>
  <w:abstractNum w:abstractNumId="5" w15:restartNumberingAfterBreak="0">
    <w:nsid w:val="68710CFF"/>
    <w:multiLevelType w:val="hybridMultilevel"/>
    <w:tmpl w:val="A0A0CADC"/>
    <w:lvl w:ilvl="0" w:tplc="E6D41604">
      <w:start w:val="1"/>
      <w:numFmt w:val="bullet"/>
      <w:lvlText w:val=""/>
      <w:lvlJc w:val="left"/>
      <w:pPr>
        <w:ind w:left="720" w:hanging="360"/>
      </w:pPr>
      <w:rPr>
        <w:rFonts w:ascii="Symbol" w:hAnsi="Symbol"/>
      </w:rPr>
    </w:lvl>
    <w:lvl w:ilvl="1" w:tplc="D9C6FB1A">
      <w:start w:val="1"/>
      <w:numFmt w:val="bullet"/>
      <w:lvlText w:val=""/>
      <w:lvlJc w:val="left"/>
      <w:pPr>
        <w:ind w:left="720" w:hanging="360"/>
      </w:pPr>
      <w:rPr>
        <w:rFonts w:ascii="Symbol" w:hAnsi="Symbol"/>
      </w:rPr>
    </w:lvl>
    <w:lvl w:ilvl="2" w:tplc="C7323F7E">
      <w:start w:val="1"/>
      <w:numFmt w:val="bullet"/>
      <w:lvlText w:val=""/>
      <w:lvlJc w:val="left"/>
      <w:pPr>
        <w:ind w:left="720" w:hanging="360"/>
      </w:pPr>
      <w:rPr>
        <w:rFonts w:ascii="Symbol" w:hAnsi="Symbol"/>
      </w:rPr>
    </w:lvl>
    <w:lvl w:ilvl="3" w:tplc="1A906232">
      <w:start w:val="1"/>
      <w:numFmt w:val="bullet"/>
      <w:lvlText w:val=""/>
      <w:lvlJc w:val="left"/>
      <w:pPr>
        <w:ind w:left="720" w:hanging="360"/>
      </w:pPr>
      <w:rPr>
        <w:rFonts w:ascii="Symbol" w:hAnsi="Symbol"/>
      </w:rPr>
    </w:lvl>
    <w:lvl w:ilvl="4" w:tplc="87DEDE40">
      <w:start w:val="1"/>
      <w:numFmt w:val="bullet"/>
      <w:lvlText w:val=""/>
      <w:lvlJc w:val="left"/>
      <w:pPr>
        <w:ind w:left="720" w:hanging="360"/>
      </w:pPr>
      <w:rPr>
        <w:rFonts w:ascii="Symbol" w:hAnsi="Symbol"/>
      </w:rPr>
    </w:lvl>
    <w:lvl w:ilvl="5" w:tplc="D1FADFAC">
      <w:start w:val="1"/>
      <w:numFmt w:val="bullet"/>
      <w:lvlText w:val=""/>
      <w:lvlJc w:val="left"/>
      <w:pPr>
        <w:ind w:left="720" w:hanging="360"/>
      </w:pPr>
      <w:rPr>
        <w:rFonts w:ascii="Symbol" w:hAnsi="Symbol"/>
      </w:rPr>
    </w:lvl>
    <w:lvl w:ilvl="6" w:tplc="45B6A800">
      <w:start w:val="1"/>
      <w:numFmt w:val="bullet"/>
      <w:lvlText w:val=""/>
      <w:lvlJc w:val="left"/>
      <w:pPr>
        <w:ind w:left="720" w:hanging="360"/>
      </w:pPr>
      <w:rPr>
        <w:rFonts w:ascii="Symbol" w:hAnsi="Symbol"/>
      </w:rPr>
    </w:lvl>
    <w:lvl w:ilvl="7" w:tplc="92A2F9F6">
      <w:start w:val="1"/>
      <w:numFmt w:val="bullet"/>
      <w:lvlText w:val=""/>
      <w:lvlJc w:val="left"/>
      <w:pPr>
        <w:ind w:left="720" w:hanging="360"/>
      </w:pPr>
      <w:rPr>
        <w:rFonts w:ascii="Symbol" w:hAnsi="Symbol"/>
      </w:rPr>
    </w:lvl>
    <w:lvl w:ilvl="8" w:tplc="18CC928C">
      <w:start w:val="1"/>
      <w:numFmt w:val="bullet"/>
      <w:lvlText w:val=""/>
      <w:lvlJc w:val="left"/>
      <w:pPr>
        <w:ind w:left="720" w:hanging="360"/>
      </w:pPr>
      <w:rPr>
        <w:rFonts w:ascii="Symbol" w:hAnsi="Symbol"/>
      </w:rPr>
    </w:lvl>
  </w:abstractNum>
  <w:abstractNum w:abstractNumId="6" w15:restartNumberingAfterBreak="0">
    <w:nsid w:val="6BF01A41"/>
    <w:multiLevelType w:val="hybridMultilevel"/>
    <w:tmpl w:val="85BE714A"/>
    <w:lvl w:ilvl="0" w:tplc="FFFFFFFF">
      <w:start w:val="1"/>
      <w:numFmt w:val="decimal"/>
      <w:lvlText w:val="%1."/>
      <w:lvlJc w:val="left"/>
      <w:pPr>
        <w:ind w:left="360" w:hanging="360"/>
      </w:pPr>
      <w:rPr>
        <w:rFonts w:hint="default"/>
      </w:rPr>
    </w:lvl>
    <w:lvl w:ilvl="1" w:tplc="2000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21F5ADD"/>
    <w:multiLevelType w:val="hybridMultilevel"/>
    <w:tmpl w:val="1E26E97A"/>
    <w:lvl w:ilvl="0" w:tplc="78B056DE">
      <w:start w:val="1"/>
      <w:numFmt w:val="bullet"/>
      <w:lvlText w:val=""/>
      <w:lvlJc w:val="left"/>
      <w:pPr>
        <w:ind w:left="720" w:hanging="360"/>
      </w:pPr>
      <w:rPr>
        <w:rFonts w:ascii="Symbol" w:hAnsi="Symbol"/>
      </w:rPr>
    </w:lvl>
    <w:lvl w:ilvl="1" w:tplc="13680148">
      <w:start w:val="1"/>
      <w:numFmt w:val="bullet"/>
      <w:lvlText w:val=""/>
      <w:lvlJc w:val="left"/>
      <w:pPr>
        <w:ind w:left="720" w:hanging="360"/>
      </w:pPr>
      <w:rPr>
        <w:rFonts w:ascii="Symbol" w:hAnsi="Symbol"/>
      </w:rPr>
    </w:lvl>
    <w:lvl w:ilvl="2" w:tplc="8580E334">
      <w:start w:val="1"/>
      <w:numFmt w:val="bullet"/>
      <w:lvlText w:val=""/>
      <w:lvlJc w:val="left"/>
      <w:pPr>
        <w:ind w:left="720" w:hanging="360"/>
      </w:pPr>
      <w:rPr>
        <w:rFonts w:ascii="Symbol" w:hAnsi="Symbol"/>
      </w:rPr>
    </w:lvl>
    <w:lvl w:ilvl="3" w:tplc="06B00268">
      <w:start w:val="1"/>
      <w:numFmt w:val="bullet"/>
      <w:lvlText w:val=""/>
      <w:lvlJc w:val="left"/>
      <w:pPr>
        <w:ind w:left="720" w:hanging="360"/>
      </w:pPr>
      <w:rPr>
        <w:rFonts w:ascii="Symbol" w:hAnsi="Symbol"/>
      </w:rPr>
    </w:lvl>
    <w:lvl w:ilvl="4" w:tplc="A5008A3A">
      <w:start w:val="1"/>
      <w:numFmt w:val="bullet"/>
      <w:lvlText w:val=""/>
      <w:lvlJc w:val="left"/>
      <w:pPr>
        <w:ind w:left="720" w:hanging="360"/>
      </w:pPr>
      <w:rPr>
        <w:rFonts w:ascii="Symbol" w:hAnsi="Symbol"/>
      </w:rPr>
    </w:lvl>
    <w:lvl w:ilvl="5" w:tplc="722A1AB6">
      <w:start w:val="1"/>
      <w:numFmt w:val="bullet"/>
      <w:lvlText w:val=""/>
      <w:lvlJc w:val="left"/>
      <w:pPr>
        <w:ind w:left="720" w:hanging="360"/>
      </w:pPr>
      <w:rPr>
        <w:rFonts w:ascii="Symbol" w:hAnsi="Symbol"/>
      </w:rPr>
    </w:lvl>
    <w:lvl w:ilvl="6" w:tplc="F976A4F0">
      <w:start w:val="1"/>
      <w:numFmt w:val="bullet"/>
      <w:lvlText w:val=""/>
      <w:lvlJc w:val="left"/>
      <w:pPr>
        <w:ind w:left="720" w:hanging="360"/>
      </w:pPr>
      <w:rPr>
        <w:rFonts w:ascii="Symbol" w:hAnsi="Symbol"/>
      </w:rPr>
    </w:lvl>
    <w:lvl w:ilvl="7" w:tplc="1ED06CC0">
      <w:start w:val="1"/>
      <w:numFmt w:val="bullet"/>
      <w:lvlText w:val=""/>
      <w:lvlJc w:val="left"/>
      <w:pPr>
        <w:ind w:left="720" w:hanging="360"/>
      </w:pPr>
      <w:rPr>
        <w:rFonts w:ascii="Symbol" w:hAnsi="Symbol"/>
      </w:rPr>
    </w:lvl>
    <w:lvl w:ilvl="8" w:tplc="A260C2E4">
      <w:start w:val="1"/>
      <w:numFmt w:val="bullet"/>
      <w:lvlText w:val=""/>
      <w:lvlJc w:val="left"/>
      <w:pPr>
        <w:ind w:left="720" w:hanging="360"/>
      </w:pPr>
      <w:rPr>
        <w:rFonts w:ascii="Symbol" w:hAnsi="Symbol"/>
      </w:rPr>
    </w:lvl>
  </w:abstractNum>
  <w:num w:numId="1" w16cid:durableId="155263542">
    <w:abstractNumId w:val="3"/>
  </w:num>
  <w:num w:numId="2" w16cid:durableId="1561358925">
    <w:abstractNumId w:val="0"/>
  </w:num>
  <w:num w:numId="3" w16cid:durableId="1632976660">
    <w:abstractNumId w:val="1"/>
  </w:num>
  <w:num w:numId="4" w16cid:durableId="1162503646">
    <w:abstractNumId w:val="5"/>
  </w:num>
  <w:num w:numId="5" w16cid:durableId="2066946782">
    <w:abstractNumId w:val="2"/>
  </w:num>
  <w:num w:numId="6" w16cid:durableId="1753889320">
    <w:abstractNumId w:val="6"/>
  </w:num>
  <w:num w:numId="7" w16cid:durableId="409155191">
    <w:abstractNumId w:val="7"/>
  </w:num>
  <w:num w:numId="8" w16cid:durableId="1036925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14"/>
    <w:rsid w:val="00007376"/>
    <w:rsid w:val="000109C7"/>
    <w:rsid w:val="00030DB0"/>
    <w:rsid w:val="000311A2"/>
    <w:rsid w:val="00037BC9"/>
    <w:rsid w:val="0004444C"/>
    <w:rsid w:val="00044F40"/>
    <w:rsid w:val="00045E98"/>
    <w:rsid w:val="00047B2D"/>
    <w:rsid w:val="00050A44"/>
    <w:rsid w:val="00056D5A"/>
    <w:rsid w:val="00061E4D"/>
    <w:rsid w:val="000647BA"/>
    <w:rsid w:val="0007006E"/>
    <w:rsid w:val="00087F88"/>
    <w:rsid w:val="00090676"/>
    <w:rsid w:val="000A6A56"/>
    <w:rsid w:val="000B3459"/>
    <w:rsid w:val="000C031E"/>
    <w:rsid w:val="000D746E"/>
    <w:rsid w:val="000E21E7"/>
    <w:rsid w:val="000E45D3"/>
    <w:rsid w:val="001007D1"/>
    <w:rsid w:val="001077A7"/>
    <w:rsid w:val="00116B8F"/>
    <w:rsid w:val="001206A6"/>
    <w:rsid w:val="001378B6"/>
    <w:rsid w:val="00140872"/>
    <w:rsid w:val="00144496"/>
    <w:rsid w:val="00157FE3"/>
    <w:rsid w:val="00160E05"/>
    <w:rsid w:val="00192661"/>
    <w:rsid w:val="00196F4E"/>
    <w:rsid w:val="00197A1B"/>
    <w:rsid w:val="001B22AB"/>
    <w:rsid w:val="001B39A2"/>
    <w:rsid w:val="001C3234"/>
    <w:rsid w:val="001D2419"/>
    <w:rsid w:val="001D78C6"/>
    <w:rsid w:val="001F29D0"/>
    <w:rsid w:val="001F4ACB"/>
    <w:rsid w:val="001F6F0F"/>
    <w:rsid w:val="001F7A8E"/>
    <w:rsid w:val="0020152C"/>
    <w:rsid w:val="002205E6"/>
    <w:rsid w:val="002220CB"/>
    <w:rsid w:val="00223456"/>
    <w:rsid w:val="00226F48"/>
    <w:rsid w:val="002311B6"/>
    <w:rsid w:val="00232F10"/>
    <w:rsid w:val="00234688"/>
    <w:rsid w:val="00234AD6"/>
    <w:rsid w:val="00241F45"/>
    <w:rsid w:val="0024610D"/>
    <w:rsid w:val="002556E8"/>
    <w:rsid w:val="00260D21"/>
    <w:rsid w:val="00266E6F"/>
    <w:rsid w:val="00267084"/>
    <w:rsid w:val="00271CBE"/>
    <w:rsid w:val="00283553"/>
    <w:rsid w:val="00285A31"/>
    <w:rsid w:val="00295CC0"/>
    <w:rsid w:val="002A2755"/>
    <w:rsid w:val="002C2556"/>
    <w:rsid w:val="002D0BBC"/>
    <w:rsid w:val="002D0FC9"/>
    <w:rsid w:val="002D2998"/>
    <w:rsid w:val="002D6D92"/>
    <w:rsid w:val="002E66F3"/>
    <w:rsid w:val="002F2901"/>
    <w:rsid w:val="003031FE"/>
    <w:rsid w:val="003063C9"/>
    <w:rsid w:val="00324AC7"/>
    <w:rsid w:val="00325D73"/>
    <w:rsid w:val="00347E43"/>
    <w:rsid w:val="00361A89"/>
    <w:rsid w:val="00366C1E"/>
    <w:rsid w:val="00372318"/>
    <w:rsid w:val="00373608"/>
    <w:rsid w:val="00384608"/>
    <w:rsid w:val="00392958"/>
    <w:rsid w:val="003A45BA"/>
    <w:rsid w:val="003B6F60"/>
    <w:rsid w:val="003C432C"/>
    <w:rsid w:val="003F2700"/>
    <w:rsid w:val="003F7B05"/>
    <w:rsid w:val="00415273"/>
    <w:rsid w:val="00415683"/>
    <w:rsid w:val="00415E67"/>
    <w:rsid w:val="00427BDA"/>
    <w:rsid w:val="00430203"/>
    <w:rsid w:val="0043374A"/>
    <w:rsid w:val="00451256"/>
    <w:rsid w:val="00453EE8"/>
    <w:rsid w:val="00456F64"/>
    <w:rsid w:val="00462343"/>
    <w:rsid w:val="00463ED7"/>
    <w:rsid w:val="0046747A"/>
    <w:rsid w:val="0047516C"/>
    <w:rsid w:val="00476243"/>
    <w:rsid w:val="00483E0F"/>
    <w:rsid w:val="004943F9"/>
    <w:rsid w:val="004B146A"/>
    <w:rsid w:val="004B1CE2"/>
    <w:rsid w:val="004B3105"/>
    <w:rsid w:val="004E364F"/>
    <w:rsid w:val="00501879"/>
    <w:rsid w:val="00521F25"/>
    <w:rsid w:val="005270A8"/>
    <w:rsid w:val="0053158B"/>
    <w:rsid w:val="00543D92"/>
    <w:rsid w:val="00545ADD"/>
    <w:rsid w:val="00547B39"/>
    <w:rsid w:val="005504E3"/>
    <w:rsid w:val="00554849"/>
    <w:rsid w:val="0055565F"/>
    <w:rsid w:val="00562166"/>
    <w:rsid w:val="00567148"/>
    <w:rsid w:val="005801B2"/>
    <w:rsid w:val="00584C9C"/>
    <w:rsid w:val="00585BD1"/>
    <w:rsid w:val="00585E6C"/>
    <w:rsid w:val="005B4C19"/>
    <w:rsid w:val="005B74C5"/>
    <w:rsid w:val="005C2446"/>
    <w:rsid w:val="005D130E"/>
    <w:rsid w:val="005D4AC7"/>
    <w:rsid w:val="005D6BB3"/>
    <w:rsid w:val="005E1F08"/>
    <w:rsid w:val="005F107F"/>
    <w:rsid w:val="005F2C2A"/>
    <w:rsid w:val="005F36BD"/>
    <w:rsid w:val="0061209B"/>
    <w:rsid w:val="006154C7"/>
    <w:rsid w:val="0061587A"/>
    <w:rsid w:val="006240D0"/>
    <w:rsid w:val="00627331"/>
    <w:rsid w:val="006359BB"/>
    <w:rsid w:val="00641A1B"/>
    <w:rsid w:val="006448B0"/>
    <w:rsid w:val="00647D8E"/>
    <w:rsid w:val="00650374"/>
    <w:rsid w:val="00656E11"/>
    <w:rsid w:val="006834A2"/>
    <w:rsid w:val="006900AA"/>
    <w:rsid w:val="006A0B36"/>
    <w:rsid w:val="006A6408"/>
    <w:rsid w:val="006B1066"/>
    <w:rsid w:val="006B1607"/>
    <w:rsid w:val="006B6194"/>
    <w:rsid w:val="006B7670"/>
    <w:rsid w:val="006D2BB3"/>
    <w:rsid w:val="006D4632"/>
    <w:rsid w:val="006E2092"/>
    <w:rsid w:val="006F44A4"/>
    <w:rsid w:val="006F48FC"/>
    <w:rsid w:val="006F5967"/>
    <w:rsid w:val="00700E2F"/>
    <w:rsid w:val="00716A8B"/>
    <w:rsid w:val="00716FE4"/>
    <w:rsid w:val="00733E9D"/>
    <w:rsid w:val="007368D2"/>
    <w:rsid w:val="00740BA0"/>
    <w:rsid w:val="007638BE"/>
    <w:rsid w:val="0076758C"/>
    <w:rsid w:val="007715AC"/>
    <w:rsid w:val="00775BD6"/>
    <w:rsid w:val="00780214"/>
    <w:rsid w:val="00792234"/>
    <w:rsid w:val="00797F8D"/>
    <w:rsid w:val="007A2536"/>
    <w:rsid w:val="007B0134"/>
    <w:rsid w:val="007B48EC"/>
    <w:rsid w:val="007B6884"/>
    <w:rsid w:val="007C6730"/>
    <w:rsid w:val="007E79E7"/>
    <w:rsid w:val="007F1806"/>
    <w:rsid w:val="007F297B"/>
    <w:rsid w:val="008057E2"/>
    <w:rsid w:val="00835E3A"/>
    <w:rsid w:val="00841099"/>
    <w:rsid w:val="00842611"/>
    <w:rsid w:val="00842E54"/>
    <w:rsid w:val="00855F22"/>
    <w:rsid w:val="00856335"/>
    <w:rsid w:val="00857402"/>
    <w:rsid w:val="00865EB3"/>
    <w:rsid w:val="00883BF1"/>
    <w:rsid w:val="00892ED6"/>
    <w:rsid w:val="00895809"/>
    <w:rsid w:val="008A6CBF"/>
    <w:rsid w:val="008B1E67"/>
    <w:rsid w:val="008B476F"/>
    <w:rsid w:val="008B530C"/>
    <w:rsid w:val="008B7CFB"/>
    <w:rsid w:val="008E0018"/>
    <w:rsid w:val="008E4248"/>
    <w:rsid w:val="008F0BAC"/>
    <w:rsid w:val="008F238C"/>
    <w:rsid w:val="00900040"/>
    <w:rsid w:val="009056AD"/>
    <w:rsid w:val="00907FFD"/>
    <w:rsid w:val="00910294"/>
    <w:rsid w:val="0093106D"/>
    <w:rsid w:val="00934765"/>
    <w:rsid w:val="00950DF5"/>
    <w:rsid w:val="0095181A"/>
    <w:rsid w:val="0096342D"/>
    <w:rsid w:val="009670FB"/>
    <w:rsid w:val="009713D5"/>
    <w:rsid w:val="009815C7"/>
    <w:rsid w:val="00984663"/>
    <w:rsid w:val="00987377"/>
    <w:rsid w:val="009973BB"/>
    <w:rsid w:val="009B601D"/>
    <w:rsid w:val="009C466B"/>
    <w:rsid w:val="009D439C"/>
    <w:rsid w:val="009D76E9"/>
    <w:rsid w:val="009E19B4"/>
    <w:rsid w:val="009E3563"/>
    <w:rsid w:val="009E3988"/>
    <w:rsid w:val="00A00862"/>
    <w:rsid w:val="00A06CF6"/>
    <w:rsid w:val="00A119A8"/>
    <w:rsid w:val="00A21DAE"/>
    <w:rsid w:val="00A22765"/>
    <w:rsid w:val="00A24F46"/>
    <w:rsid w:val="00A27B33"/>
    <w:rsid w:val="00A27FEA"/>
    <w:rsid w:val="00A34ECC"/>
    <w:rsid w:val="00A36099"/>
    <w:rsid w:val="00A462DE"/>
    <w:rsid w:val="00A729EF"/>
    <w:rsid w:val="00A731D5"/>
    <w:rsid w:val="00A752C0"/>
    <w:rsid w:val="00A96BE0"/>
    <w:rsid w:val="00AA410C"/>
    <w:rsid w:val="00AB68EC"/>
    <w:rsid w:val="00AC192F"/>
    <w:rsid w:val="00AC6F66"/>
    <w:rsid w:val="00AD3210"/>
    <w:rsid w:val="00AD4232"/>
    <w:rsid w:val="00AF03C0"/>
    <w:rsid w:val="00AF1A78"/>
    <w:rsid w:val="00AF67E5"/>
    <w:rsid w:val="00B073FB"/>
    <w:rsid w:val="00B07BDE"/>
    <w:rsid w:val="00B1239B"/>
    <w:rsid w:val="00B127AA"/>
    <w:rsid w:val="00B217AB"/>
    <w:rsid w:val="00B229E3"/>
    <w:rsid w:val="00B22AEB"/>
    <w:rsid w:val="00B244EA"/>
    <w:rsid w:val="00B268D1"/>
    <w:rsid w:val="00B34E74"/>
    <w:rsid w:val="00B3677B"/>
    <w:rsid w:val="00B43826"/>
    <w:rsid w:val="00B537EE"/>
    <w:rsid w:val="00B640E9"/>
    <w:rsid w:val="00B65688"/>
    <w:rsid w:val="00B72DFA"/>
    <w:rsid w:val="00B73AC5"/>
    <w:rsid w:val="00B84410"/>
    <w:rsid w:val="00B86551"/>
    <w:rsid w:val="00BA6B26"/>
    <w:rsid w:val="00BB30EB"/>
    <w:rsid w:val="00BB443F"/>
    <w:rsid w:val="00BB4780"/>
    <w:rsid w:val="00BC1407"/>
    <w:rsid w:val="00BC5334"/>
    <w:rsid w:val="00BC7203"/>
    <w:rsid w:val="00BD11A1"/>
    <w:rsid w:val="00BD32AF"/>
    <w:rsid w:val="00BD4E42"/>
    <w:rsid w:val="00BF1EB1"/>
    <w:rsid w:val="00BF4F61"/>
    <w:rsid w:val="00BF75EE"/>
    <w:rsid w:val="00C11C7E"/>
    <w:rsid w:val="00C13C95"/>
    <w:rsid w:val="00C151D3"/>
    <w:rsid w:val="00C309C8"/>
    <w:rsid w:val="00C3385E"/>
    <w:rsid w:val="00C33DD9"/>
    <w:rsid w:val="00C345BF"/>
    <w:rsid w:val="00C363FA"/>
    <w:rsid w:val="00C507CD"/>
    <w:rsid w:val="00C52EAF"/>
    <w:rsid w:val="00C5358D"/>
    <w:rsid w:val="00C54708"/>
    <w:rsid w:val="00C62725"/>
    <w:rsid w:val="00C62BAE"/>
    <w:rsid w:val="00C64896"/>
    <w:rsid w:val="00C935BB"/>
    <w:rsid w:val="00C9468B"/>
    <w:rsid w:val="00C9478D"/>
    <w:rsid w:val="00C9627E"/>
    <w:rsid w:val="00CC0A6E"/>
    <w:rsid w:val="00CC63A7"/>
    <w:rsid w:val="00CD0425"/>
    <w:rsid w:val="00CD225E"/>
    <w:rsid w:val="00CD66C1"/>
    <w:rsid w:val="00CE1F5F"/>
    <w:rsid w:val="00CE31DC"/>
    <w:rsid w:val="00CF22B7"/>
    <w:rsid w:val="00CF374E"/>
    <w:rsid w:val="00CF450D"/>
    <w:rsid w:val="00D0047C"/>
    <w:rsid w:val="00D10E20"/>
    <w:rsid w:val="00D111F0"/>
    <w:rsid w:val="00D113E3"/>
    <w:rsid w:val="00D22661"/>
    <w:rsid w:val="00D35524"/>
    <w:rsid w:val="00D40322"/>
    <w:rsid w:val="00D42948"/>
    <w:rsid w:val="00D44A9E"/>
    <w:rsid w:val="00D45B17"/>
    <w:rsid w:val="00D5583D"/>
    <w:rsid w:val="00D579E1"/>
    <w:rsid w:val="00D62A82"/>
    <w:rsid w:val="00D62BE8"/>
    <w:rsid w:val="00D65A71"/>
    <w:rsid w:val="00D7133D"/>
    <w:rsid w:val="00D72854"/>
    <w:rsid w:val="00D8661C"/>
    <w:rsid w:val="00DB3B5B"/>
    <w:rsid w:val="00DB59A2"/>
    <w:rsid w:val="00DC0961"/>
    <w:rsid w:val="00DD440C"/>
    <w:rsid w:val="00DD7150"/>
    <w:rsid w:val="00DE0B44"/>
    <w:rsid w:val="00DE1E04"/>
    <w:rsid w:val="00DE1EDD"/>
    <w:rsid w:val="00DF322F"/>
    <w:rsid w:val="00E270E4"/>
    <w:rsid w:val="00E27EAF"/>
    <w:rsid w:val="00E314BF"/>
    <w:rsid w:val="00E35A35"/>
    <w:rsid w:val="00E3605F"/>
    <w:rsid w:val="00E37C83"/>
    <w:rsid w:val="00E46F73"/>
    <w:rsid w:val="00E51775"/>
    <w:rsid w:val="00E62614"/>
    <w:rsid w:val="00E66467"/>
    <w:rsid w:val="00E971B4"/>
    <w:rsid w:val="00EB0AFA"/>
    <w:rsid w:val="00EB0FD7"/>
    <w:rsid w:val="00ED1551"/>
    <w:rsid w:val="00ED7DBA"/>
    <w:rsid w:val="00EE6512"/>
    <w:rsid w:val="00EF65B3"/>
    <w:rsid w:val="00F10D79"/>
    <w:rsid w:val="00F25550"/>
    <w:rsid w:val="00F43969"/>
    <w:rsid w:val="00F55215"/>
    <w:rsid w:val="00F67433"/>
    <w:rsid w:val="00F70453"/>
    <w:rsid w:val="00F719AC"/>
    <w:rsid w:val="00F87224"/>
    <w:rsid w:val="00F94A06"/>
    <w:rsid w:val="00F94DB2"/>
    <w:rsid w:val="00F94E0D"/>
    <w:rsid w:val="00F954E0"/>
    <w:rsid w:val="00FA634A"/>
    <w:rsid w:val="00FB255C"/>
    <w:rsid w:val="00FB5285"/>
    <w:rsid w:val="00FC22EF"/>
    <w:rsid w:val="00FD482E"/>
    <w:rsid w:val="00FD673C"/>
    <w:rsid w:val="00FE3654"/>
    <w:rsid w:val="00FE6C70"/>
    <w:rsid w:val="00FF13F4"/>
    <w:rsid w:val="00FF3B64"/>
    <w:rsid w:val="00FF4E81"/>
    <w:rsid w:val="0259D225"/>
    <w:rsid w:val="040F316D"/>
    <w:rsid w:val="04682A23"/>
    <w:rsid w:val="0729A1AF"/>
    <w:rsid w:val="08EFA536"/>
    <w:rsid w:val="0AD7D67D"/>
    <w:rsid w:val="0C0D4F91"/>
    <w:rsid w:val="0D03BBDA"/>
    <w:rsid w:val="0D0A2316"/>
    <w:rsid w:val="0DB7DA59"/>
    <w:rsid w:val="0E3DBE7E"/>
    <w:rsid w:val="0EE846C0"/>
    <w:rsid w:val="0F1D6EF8"/>
    <w:rsid w:val="1010C5C0"/>
    <w:rsid w:val="10351085"/>
    <w:rsid w:val="103B29CB"/>
    <w:rsid w:val="109A1595"/>
    <w:rsid w:val="12EE6919"/>
    <w:rsid w:val="143AF054"/>
    <w:rsid w:val="16614A2E"/>
    <w:rsid w:val="16BA72A0"/>
    <w:rsid w:val="16CC6A3C"/>
    <w:rsid w:val="16D5AF3B"/>
    <w:rsid w:val="18D3822D"/>
    <w:rsid w:val="19281DDC"/>
    <w:rsid w:val="19E59322"/>
    <w:rsid w:val="1CF88E8C"/>
    <w:rsid w:val="1E15FDF3"/>
    <w:rsid w:val="1E2A25EB"/>
    <w:rsid w:val="1FD0D971"/>
    <w:rsid w:val="22ACF2FB"/>
    <w:rsid w:val="24C55949"/>
    <w:rsid w:val="24DF314C"/>
    <w:rsid w:val="24EAA7D9"/>
    <w:rsid w:val="2515B78A"/>
    <w:rsid w:val="26C3C002"/>
    <w:rsid w:val="2B206F5C"/>
    <w:rsid w:val="2B3CC66E"/>
    <w:rsid w:val="2B415E33"/>
    <w:rsid w:val="2B4291E2"/>
    <w:rsid w:val="30E700A0"/>
    <w:rsid w:val="322F5FEC"/>
    <w:rsid w:val="326CA6BC"/>
    <w:rsid w:val="33322B51"/>
    <w:rsid w:val="354A1F71"/>
    <w:rsid w:val="36115596"/>
    <w:rsid w:val="3753CAD2"/>
    <w:rsid w:val="38085EB8"/>
    <w:rsid w:val="3A6C4533"/>
    <w:rsid w:val="3B92D6B9"/>
    <w:rsid w:val="3E2B5E74"/>
    <w:rsid w:val="3FC44CE4"/>
    <w:rsid w:val="41601D45"/>
    <w:rsid w:val="42018303"/>
    <w:rsid w:val="4402DF57"/>
    <w:rsid w:val="4424E4E1"/>
    <w:rsid w:val="45679F31"/>
    <w:rsid w:val="459BCC25"/>
    <w:rsid w:val="46BF0EF2"/>
    <w:rsid w:val="46F5DF56"/>
    <w:rsid w:val="470F91E2"/>
    <w:rsid w:val="4746E236"/>
    <w:rsid w:val="496A9C3B"/>
    <w:rsid w:val="4B1E239F"/>
    <w:rsid w:val="4C793F21"/>
    <w:rsid w:val="4CDD5E0B"/>
    <w:rsid w:val="4E792E6C"/>
    <w:rsid w:val="519B579F"/>
    <w:rsid w:val="52A5F537"/>
    <w:rsid w:val="540D5BE5"/>
    <w:rsid w:val="54CF4793"/>
    <w:rsid w:val="55F7ACD8"/>
    <w:rsid w:val="57BDAF15"/>
    <w:rsid w:val="57D14D1C"/>
    <w:rsid w:val="5913F274"/>
    <w:rsid w:val="59321497"/>
    <w:rsid w:val="5B025E02"/>
    <w:rsid w:val="5B628833"/>
    <w:rsid w:val="5BF4F205"/>
    <w:rsid w:val="5C591032"/>
    <w:rsid w:val="5C5FD026"/>
    <w:rsid w:val="5DCBA082"/>
    <w:rsid w:val="5EA2FC36"/>
    <w:rsid w:val="5EF42D44"/>
    <w:rsid w:val="60328F84"/>
    <w:rsid w:val="622B4A90"/>
    <w:rsid w:val="62427851"/>
    <w:rsid w:val="6324B39A"/>
    <w:rsid w:val="6329505D"/>
    <w:rsid w:val="6341E181"/>
    <w:rsid w:val="652FF9BD"/>
    <w:rsid w:val="653F2C16"/>
    <w:rsid w:val="688E253D"/>
    <w:rsid w:val="6B5C9A67"/>
    <w:rsid w:val="6C030A9E"/>
    <w:rsid w:val="6E641FA8"/>
    <w:rsid w:val="7116C2C3"/>
    <w:rsid w:val="71C918AE"/>
    <w:rsid w:val="72CE02C2"/>
    <w:rsid w:val="7323CFE1"/>
    <w:rsid w:val="782FAF12"/>
    <w:rsid w:val="7A895041"/>
    <w:rsid w:val="7C10159A"/>
    <w:rsid w:val="7C6799AC"/>
    <w:rsid w:val="7CA3D77D"/>
    <w:rsid w:val="7E720322"/>
    <w:rsid w:val="7F5E4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65DD"/>
  <w15:chartTrackingRefBased/>
  <w15:docId w15:val="{E2E546CE-68E6-4B7D-B769-72F65AB2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273"/>
  </w:style>
  <w:style w:type="paragraph" w:styleId="Heading1">
    <w:name w:val="heading 1"/>
    <w:basedOn w:val="Normal"/>
    <w:next w:val="Normal"/>
    <w:link w:val="Heading1Char"/>
    <w:uiPriority w:val="9"/>
    <w:qFormat/>
    <w:rsid w:val="007802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02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154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0214"/>
    <w:pPr>
      <w:spacing w:after="0" w:line="240" w:lineRule="auto"/>
    </w:pPr>
  </w:style>
  <w:style w:type="character" w:customStyle="1" w:styleId="Heading1Char">
    <w:name w:val="Heading 1 Char"/>
    <w:basedOn w:val="DefaultParagraphFont"/>
    <w:link w:val="Heading1"/>
    <w:uiPriority w:val="9"/>
    <w:rsid w:val="007802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780214"/>
    <w:pPr>
      <w:ind w:left="720"/>
      <w:contextualSpacing/>
    </w:pPr>
  </w:style>
  <w:style w:type="character" w:customStyle="1" w:styleId="Heading2Char">
    <w:name w:val="Heading 2 Char"/>
    <w:basedOn w:val="DefaultParagraphFont"/>
    <w:link w:val="Heading2"/>
    <w:uiPriority w:val="9"/>
    <w:rsid w:val="0078021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B7CFB"/>
    <w:rPr>
      <w:sz w:val="16"/>
      <w:szCs w:val="16"/>
    </w:rPr>
  </w:style>
  <w:style w:type="paragraph" w:styleId="CommentText">
    <w:name w:val="annotation text"/>
    <w:basedOn w:val="Normal"/>
    <w:link w:val="CommentTextChar"/>
    <w:uiPriority w:val="99"/>
    <w:unhideWhenUsed/>
    <w:rsid w:val="008B7CFB"/>
    <w:pPr>
      <w:spacing w:line="240" w:lineRule="auto"/>
    </w:pPr>
    <w:rPr>
      <w:sz w:val="20"/>
      <w:szCs w:val="20"/>
    </w:rPr>
  </w:style>
  <w:style w:type="character" w:customStyle="1" w:styleId="CommentTextChar">
    <w:name w:val="Comment Text Char"/>
    <w:basedOn w:val="DefaultParagraphFont"/>
    <w:link w:val="CommentText"/>
    <w:uiPriority w:val="99"/>
    <w:rsid w:val="008B7CFB"/>
    <w:rPr>
      <w:sz w:val="20"/>
      <w:szCs w:val="20"/>
    </w:rPr>
  </w:style>
  <w:style w:type="paragraph" w:styleId="CommentSubject">
    <w:name w:val="annotation subject"/>
    <w:basedOn w:val="CommentText"/>
    <w:next w:val="CommentText"/>
    <w:link w:val="CommentSubjectChar"/>
    <w:uiPriority w:val="99"/>
    <w:semiHidden/>
    <w:unhideWhenUsed/>
    <w:rsid w:val="008B7CFB"/>
    <w:rPr>
      <w:b/>
      <w:bCs/>
    </w:rPr>
  </w:style>
  <w:style w:type="character" w:customStyle="1" w:styleId="CommentSubjectChar">
    <w:name w:val="Comment Subject Char"/>
    <w:basedOn w:val="CommentTextChar"/>
    <w:link w:val="CommentSubject"/>
    <w:uiPriority w:val="99"/>
    <w:semiHidden/>
    <w:rsid w:val="008B7CFB"/>
    <w:rPr>
      <w:b/>
      <w:bCs/>
      <w:sz w:val="20"/>
      <w:szCs w:val="20"/>
    </w:rPr>
  </w:style>
  <w:style w:type="character" w:customStyle="1" w:styleId="Heading3Char">
    <w:name w:val="Heading 3 Char"/>
    <w:basedOn w:val="DefaultParagraphFont"/>
    <w:link w:val="Heading3"/>
    <w:uiPriority w:val="9"/>
    <w:semiHidden/>
    <w:rsid w:val="006154C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6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C1E"/>
  </w:style>
  <w:style w:type="paragraph" w:styleId="Footer">
    <w:name w:val="footer"/>
    <w:basedOn w:val="Normal"/>
    <w:link w:val="FooterChar"/>
    <w:uiPriority w:val="99"/>
    <w:unhideWhenUsed/>
    <w:rsid w:val="0036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C1E"/>
  </w:style>
  <w:style w:type="character" w:styleId="Hyperlink">
    <w:name w:val="Hyperlink"/>
    <w:basedOn w:val="DefaultParagraphFont"/>
    <w:uiPriority w:val="99"/>
    <w:unhideWhenUsed/>
    <w:rsid w:val="00950DF5"/>
    <w:rPr>
      <w:color w:val="0563C1" w:themeColor="hyperlink"/>
      <w:u w:val="single"/>
    </w:rPr>
  </w:style>
  <w:style w:type="character" w:styleId="UnresolvedMention">
    <w:name w:val="Unresolved Mention"/>
    <w:basedOn w:val="DefaultParagraphFont"/>
    <w:uiPriority w:val="99"/>
    <w:semiHidden/>
    <w:unhideWhenUsed/>
    <w:rsid w:val="00950DF5"/>
    <w:rPr>
      <w:color w:val="605E5C"/>
      <w:shd w:val="clear" w:color="auto" w:fill="E1DFDD"/>
    </w:rPr>
  </w:style>
  <w:style w:type="character" w:customStyle="1" w:styleId="cf01">
    <w:name w:val="cf01"/>
    <w:basedOn w:val="DefaultParagraphFont"/>
    <w:rsid w:val="00C62725"/>
    <w:rPr>
      <w:rFonts w:ascii="Segoe UI" w:hAnsi="Segoe UI" w:cs="Segoe UI" w:hint="default"/>
      <w:sz w:val="18"/>
      <w:szCs w:val="18"/>
    </w:rPr>
  </w:style>
  <w:style w:type="character" w:customStyle="1" w:styleId="cf11">
    <w:name w:val="cf11"/>
    <w:basedOn w:val="DefaultParagraphFont"/>
    <w:rsid w:val="00C62725"/>
    <w:rPr>
      <w:rFonts w:ascii="Segoe UI" w:hAnsi="Segoe UI" w:cs="Segoe UI" w:hint="default"/>
      <w:sz w:val="18"/>
      <w:szCs w:val="18"/>
      <w:shd w:val="clear" w:color="auto" w:fill="FFFFFF"/>
    </w:rPr>
  </w:style>
  <w:style w:type="character" w:styleId="Mention">
    <w:name w:val="Mention"/>
    <w:basedOn w:val="DefaultParagraphFont"/>
    <w:uiPriority w:val="99"/>
    <w:unhideWhenUsed/>
    <w:rsid w:val="0043374A"/>
    <w:rPr>
      <w:color w:val="2B579A"/>
      <w:shd w:val="clear" w:color="auto" w:fill="E1DFDD"/>
    </w:rPr>
  </w:style>
  <w:style w:type="character" w:customStyle="1" w:styleId="ListParagraphChar">
    <w:name w:val="List Paragraph Char"/>
    <w:link w:val="ListParagraph"/>
    <w:uiPriority w:val="34"/>
    <w:locked/>
    <w:rsid w:val="00E2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5217">
      <w:bodyDiv w:val="1"/>
      <w:marLeft w:val="0"/>
      <w:marRight w:val="0"/>
      <w:marTop w:val="0"/>
      <w:marBottom w:val="0"/>
      <w:divBdr>
        <w:top w:val="none" w:sz="0" w:space="0" w:color="auto"/>
        <w:left w:val="none" w:sz="0" w:space="0" w:color="auto"/>
        <w:bottom w:val="none" w:sz="0" w:space="0" w:color="auto"/>
        <w:right w:val="none" w:sz="0" w:space="0" w:color="auto"/>
      </w:divBdr>
    </w:div>
    <w:div w:id="7357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9" ma:contentTypeDescription="Create a new document." ma:contentTypeScope="" ma:versionID="fd2d0a4ae318738fa5f1ff72e65b2934">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37c2625be6a258cebd7413079fa12bc5"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08808e-a4ff-498b-8b44-8869f1dca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142ec6-8224-48c2-babf-013e8b339833}" ma:internalName="TaxCatchAll" ma:showField="CatchAllData" ma:web="2ddeef39-65d3-4660-94f2-f063f949c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8ef829-98c5-46d1-83dc-c2ef7c814da2" xsi:nil="true"/>
    <TaxCatchAll xmlns="2ddeef39-65d3-4660-94f2-f063f949c57e" xsi:nil="true"/>
    <lcf76f155ced4ddcb4097134ff3c332f xmlns="288ef829-98c5-46d1-83dc-c2ef7c814da2">
      <Terms xmlns="http://schemas.microsoft.com/office/infopath/2007/PartnerControls"/>
    </lcf76f155ced4ddcb4097134ff3c332f>
    <SharedWithUsers xmlns="2ddeef39-65d3-4660-94f2-f063f949c57e">
      <UserInfo>
        <DisplayName>John Stover</DisplayName>
        <AccountId>2253</AccountId>
        <AccountType/>
      </UserInfo>
      <UserInfo>
        <DisplayName>WANYEKI, Ian</DisplayName>
        <AccountId>197</AccountId>
        <AccountType/>
      </UserInfo>
      <UserInfo>
        <DisplayName>MAHY, Mary</DisplayName>
        <AccountId>20</AccountId>
        <AccountType/>
      </UserInfo>
      <UserInfo>
        <DisplayName>Robert Glaubius</DisplayName>
        <AccountId>5514</AccountId>
        <AccountType/>
      </UserInfo>
      <UserInfo>
        <DisplayName>SABIN, Keith</DisplayName>
        <AccountId>25</AccountId>
        <AccountType/>
      </UserInfo>
      <UserInfo>
        <DisplayName>KORENROMP, Eline Louise</DisplayName>
        <AccountId>7579</AccountId>
        <AccountType/>
      </UserInfo>
      <UserInfo>
        <DisplayName>DAHER, Juliana</DisplayName>
        <AccountId>63</AccountId>
        <AccountType/>
      </UserInfo>
      <UserInfo>
        <DisplayName>Tim Brown</DisplayName>
        <AccountId>394</AccountId>
        <AccountType/>
      </UserInfo>
      <UserInfo>
        <DisplayName>EBY, Ehounoud Pascal</DisplayName>
        <AccountId>44</AccountId>
        <AccountType/>
      </UserInfo>
      <UserInfo>
        <DisplayName>FRESCURA, Luisa</DisplayName>
        <AccountId>27</AccountId>
        <AccountType/>
      </UserInfo>
      <UserInfo>
        <DisplayName>RWODZI, Desire Tarwireyi</DisplayName>
        <AccountId>4456</AccountId>
        <AccountType/>
      </UserInfo>
      <UserInfo>
        <DisplayName>GUICHARD, Anne-Claire</DisplayName>
        <AccountId>7676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7500-C040-4731-89F1-8D4617D49AB3}">
  <ds:schemaRefs>
    <ds:schemaRef ds:uri="http://schemas.microsoft.com/sharepoint/v3/contenttype/forms"/>
  </ds:schemaRefs>
</ds:datastoreItem>
</file>

<file path=customXml/itemProps2.xml><?xml version="1.0" encoding="utf-8"?>
<ds:datastoreItem xmlns:ds="http://schemas.openxmlformats.org/officeDocument/2006/customXml" ds:itemID="{CC4275AD-E43B-4F29-A573-EB536E605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ef829-98c5-46d1-83dc-c2ef7c814da2"/>
    <ds:schemaRef ds:uri="2ddeef39-65d3-4660-94f2-f063f949c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DA264-9CD3-4A62-8F85-E9F136C3D149}">
  <ds:schemaRefs>
    <ds:schemaRef ds:uri="http://schemas.microsoft.com/office/2006/metadata/properties"/>
    <ds:schemaRef ds:uri="http://schemas.microsoft.com/office/infopath/2007/PartnerControls"/>
    <ds:schemaRef ds:uri="288ef829-98c5-46d1-83dc-c2ef7c814da2"/>
    <ds:schemaRef ds:uri="2ddeef39-65d3-4660-94f2-f063f949c57e"/>
  </ds:schemaRefs>
</ds:datastoreItem>
</file>

<file path=customXml/itemProps4.xml><?xml version="1.0" encoding="utf-8"?>
<ds:datastoreItem xmlns:ds="http://schemas.openxmlformats.org/officeDocument/2006/customXml" ds:itemID="{AC02AA86-7D9C-4EA5-AF3B-3A26AA994978}">
  <ds:schemaRefs>
    <ds:schemaRef ds:uri="http://schemas.openxmlformats.org/officeDocument/2006/bibliography"/>
  </ds:schemaRefs>
</ds:datastoreItem>
</file>

<file path=docMetadata/LabelInfo.xml><?xml version="1.0" encoding="utf-8"?>
<clbl:labelList xmlns:clbl="http://schemas.microsoft.com/office/2020/mipLabelMetadata">
  <clbl:label id="{c2e1cf9b-e1b6-44eb-8021-428c292d3eb5}" enabled="0" method="" siteId="{c2e1cf9b-e1b6-44eb-8021-428c292d3eb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Links>
    <vt:vector size="18" baseType="variant">
      <vt:variant>
        <vt:i4>4915324</vt:i4>
      </vt:variant>
      <vt:variant>
        <vt:i4>6</vt:i4>
      </vt:variant>
      <vt:variant>
        <vt:i4>0</vt:i4>
      </vt:variant>
      <vt:variant>
        <vt:i4>5</vt:i4>
      </vt:variant>
      <vt:variant>
        <vt:lpwstr>mailto:WanyekiI@unaids.org</vt:lpwstr>
      </vt:variant>
      <vt:variant>
        <vt:lpwstr/>
      </vt:variant>
      <vt:variant>
        <vt:i4>2162693</vt:i4>
      </vt:variant>
      <vt:variant>
        <vt:i4>3</vt:i4>
      </vt:variant>
      <vt:variant>
        <vt:i4>0</vt:i4>
      </vt:variant>
      <vt:variant>
        <vt:i4>5</vt:i4>
      </vt:variant>
      <vt:variant>
        <vt:lpwstr>mailto:SabinK@unaids.org</vt:lpwstr>
      </vt:variant>
      <vt:variant>
        <vt:lpwstr/>
      </vt:variant>
      <vt:variant>
        <vt:i4>4325473</vt:i4>
      </vt:variant>
      <vt:variant>
        <vt:i4>0</vt:i4>
      </vt:variant>
      <vt:variant>
        <vt:i4>0</vt:i4>
      </vt:variant>
      <vt:variant>
        <vt:i4>5</vt:i4>
      </vt:variant>
      <vt:variant>
        <vt:lpwstr>mailto:EbyE@unaids.org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Stover</dc:creator>
  <cp:keywords>, docId:9C624FE5252CADED2D91A47E5FF7FE86</cp:keywords>
  <dc:description/>
  <cp:lastModifiedBy>KORENROMP, Eline Louise</cp:lastModifiedBy>
  <cp:revision>8</cp:revision>
  <dcterms:created xsi:type="dcterms:W3CDTF">2024-01-26T13:09:00Z</dcterms:created>
  <dcterms:modified xsi:type="dcterms:W3CDTF">2024-01-27T11:09:00Z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0x0101006893E641F549574BB805BD9C73365D4F</vt:lpwstr>
  </property>
  <property fmtid="{D5CDD505-2E9C-101B-9397-08002B2CF9AE}" pid="3" name="MediaServiceImageTags">
    <vt:lpwstr/>
  </property>
</Properties>
</file>