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E484" w14:textId="77777777" w:rsidR="00AA29AF" w:rsidRPr="002B2D66" w:rsidRDefault="009F17C5">
      <w:pPr>
        <w:pStyle w:val="Heading1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2B2D66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Mises à jour du logiciel Spectrum/AIM pour le cycle </w:t>
      </w:r>
      <w:r w:rsidR="001B13D5" w:rsidRPr="002B2D66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2025 </w:t>
      </w:r>
      <w:r w:rsidRPr="002B2D66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des estimations sur le </w:t>
      </w:r>
      <w:r w:rsidR="00ED1C13" w:rsidRPr="002B2D66">
        <w:rPr>
          <w:rFonts w:asciiTheme="minorHAnsi" w:hAnsiTheme="minorHAnsi" w:cstheme="minorHAnsi"/>
          <w:b/>
          <w:bCs/>
          <w:sz w:val="20"/>
          <w:szCs w:val="20"/>
          <w:lang w:val="fr-FR"/>
        </w:rPr>
        <w:t>VIH</w:t>
      </w:r>
    </w:p>
    <w:p w14:paraId="2B55902B" w14:textId="6E8970E2" w:rsidR="00AA29AF" w:rsidRPr="002B2D66" w:rsidRDefault="009F17C5">
      <w:pPr>
        <w:rPr>
          <w:rFonts w:cstheme="minorHAnsi"/>
          <w:i/>
          <w:iCs/>
          <w:color w:val="C00000"/>
          <w:lang w:val="fr-FR"/>
        </w:rPr>
      </w:pPr>
      <w:r w:rsidRPr="002B2D66">
        <w:rPr>
          <w:rFonts w:cstheme="minorHAnsi"/>
          <w:lang w:val="fr-FR"/>
        </w:rPr>
        <w:t xml:space="preserve">Version </w:t>
      </w:r>
      <w:r w:rsidR="0074481D" w:rsidRPr="002B2D66">
        <w:rPr>
          <w:rFonts w:cstheme="minorHAnsi"/>
          <w:lang w:val="fr-FR"/>
        </w:rPr>
        <w:t>2</w:t>
      </w:r>
      <w:r w:rsidR="00572C34">
        <w:rPr>
          <w:rFonts w:cstheme="minorHAnsi"/>
          <w:lang w:val="fr-FR"/>
        </w:rPr>
        <w:t>0 déc</w:t>
      </w:r>
      <w:r w:rsidR="001B13D5" w:rsidRPr="002B2D66">
        <w:rPr>
          <w:rFonts w:cstheme="minorHAnsi"/>
          <w:lang w:val="fr-FR"/>
        </w:rPr>
        <w:t xml:space="preserve">embre </w:t>
      </w:r>
      <w:r w:rsidR="0021229B" w:rsidRPr="002B2D66">
        <w:rPr>
          <w:rFonts w:cstheme="minorHAnsi"/>
          <w:lang w:val="fr-FR"/>
        </w:rPr>
        <w:t xml:space="preserve">2024 </w:t>
      </w:r>
      <w:r w:rsidR="008B3D3E" w:rsidRPr="002B2D66">
        <w:rPr>
          <w:rFonts w:cstheme="minorHAnsi"/>
          <w:lang w:val="fr-FR"/>
        </w:rPr>
        <w:br/>
      </w:r>
    </w:p>
    <w:p w14:paraId="0C8890F9" w14:textId="77777777" w:rsidR="00AA29AF" w:rsidRPr="00572C34" w:rsidRDefault="009F17C5">
      <w:pPr>
        <w:pStyle w:val="Heading2"/>
        <w:rPr>
          <w:rFonts w:asciiTheme="minorHAnsi" w:hAnsiTheme="minorHAnsi" w:cstheme="minorHAnsi"/>
          <w:sz w:val="18"/>
          <w:szCs w:val="18"/>
          <w:lang w:val="fr-FR"/>
        </w:rPr>
      </w:pPr>
      <w:r w:rsidRPr="00572C34">
        <w:rPr>
          <w:rFonts w:asciiTheme="minorHAnsi" w:hAnsiTheme="minorHAnsi" w:cstheme="minorHAnsi"/>
          <w:sz w:val="18"/>
          <w:szCs w:val="18"/>
          <w:lang w:val="fr-FR"/>
        </w:rPr>
        <w:t>Saisie de données</w:t>
      </w:r>
    </w:p>
    <w:p w14:paraId="6E2E61A4" w14:textId="7620EFC8" w:rsidR="00AA29AF" w:rsidRPr="002B2D66" w:rsidRDefault="009F17C5">
      <w:pPr>
        <w:pStyle w:val="ListParagraph"/>
        <w:numPr>
          <w:ilvl w:val="0"/>
          <w:numId w:val="2"/>
        </w:numPr>
        <w:rPr>
          <w:i/>
          <w:iCs/>
          <w:lang w:val="fr-FR" w:eastAsia="zh-CN"/>
        </w:rPr>
      </w:pPr>
      <w:r w:rsidRPr="002B2D66">
        <w:rPr>
          <w:lang w:val="fr-FR"/>
        </w:rPr>
        <w:t xml:space="preserve">Les projections du </w:t>
      </w:r>
      <w:r w:rsidRPr="002B2D66">
        <w:rPr>
          <w:b/>
          <w:bCs/>
          <w:lang w:val="fr-FR"/>
        </w:rPr>
        <w:t xml:space="preserve">World Population Prospect </w:t>
      </w:r>
      <w:r w:rsidR="4FDC30E2" w:rsidRPr="002B2D66">
        <w:rPr>
          <w:b/>
          <w:bCs/>
          <w:lang w:val="fr-FR"/>
        </w:rPr>
        <w:t xml:space="preserve">2024 </w:t>
      </w:r>
      <w:r w:rsidRPr="002B2D66">
        <w:rPr>
          <w:lang w:val="fr-FR"/>
        </w:rPr>
        <w:t xml:space="preserve">sont </w:t>
      </w:r>
      <w:r w:rsidR="52E7997A" w:rsidRPr="002B2D66">
        <w:rPr>
          <w:lang w:val="fr-FR"/>
        </w:rPr>
        <w:t xml:space="preserve">recommandées </w:t>
      </w:r>
      <w:r w:rsidR="00935112" w:rsidRPr="002B2D66">
        <w:rPr>
          <w:lang w:val="fr-FR"/>
        </w:rPr>
        <w:t>d’être chargées</w:t>
      </w:r>
      <w:r w:rsidRPr="002B2D66">
        <w:rPr>
          <w:lang w:val="fr-FR"/>
        </w:rPr>
        <w:t xml:space="preserve"> et </w:t>
      </w:r>
      <w:r w:rsidR="00935112" w:rsidRPr="002B2D66">
        <w:rPr>
          <w:lang w:val="fr-FR"/>
        </w:rPr>
        <w:t>utilisées</w:t>
      </w:r>
      <w:r w:rsidRPr="002B2D66">
        <w:rPr>
          <w:lang w:val="fr-FR"/>
        </w:rPr>
        <w:t xml:space="preserve"> </w:t>
      </w:r>
      <w:r w:rsidR="00935112" w:rsidRPr="002B2D66">
        <w:rPr>
          <w:lang w:val="fr-FR"/>
        </w:rPr>
        <w:t xml:space="preserve">pour </w:t>
      </w:r>
      <w:r w:rsidRPr="002B2D66">
        <w:rPr>
          <w:lang w:val="fr-FR"/>
        </w:rPr>
        <w:t xml:space="preserve">tous les fichiers nationaux, dans DemProj </w:t>
      </w:r>
      <w:r w:rsidR="40D44E73" w:rsidRPr="002B2D66">
        <w:rPr>
          <w:i/>
          <w:iCs/>
          <w:lang w:val="fr-FR"/>
        </w:rPr>
        <w:t>(</w:t>
      </w:r>
      <w:r w:rsidR="625A338C" w:rsidRPr="002B2D66">
        <w:rPr>
          <w:i/>
          <w:iCs/>
          <w:lang w:val="fr-FR"/>
        </w:rPr>
        <w:t xml:space="preserve">Projection </w:t>
      </w:r>
      <w:r w:rsidR="40D44E73" w:rsidRPr="002B2D66">
        <w:rPr>
          <w:i/>
          <w:iCs/>
          <w:lang w:val="fr-FR"/>
        </w:rPr>
        <w:t xml:space="preserve">Manager &gt; </w:t>
      </w:r>
      <w:r w:rsidR="625A338C" w:rsidRPr="002B2D66">
        <w:rPr>
          <w:i/>
          <w:iCs/>
          <w:lang w:val="fr-FR"/>
        </w:rPr>
        <w:t>Default data &gt; Select WPP 2024)</w:t>
      </w:r>
      <w:r w:rsidRPr="002B2D66">
        <w:rPr>
          <w:i/>
          <w:iCs/>
          <w:lang w:val="fr-FR"/>
        </w:rPr>
        <w:t xml:space="preserve">. </w:t>
      </w:r>
    </w:p>
    <w:p w14:paraId="0464D1D5" w14:textId="77777777" w:rsidR="004D1491" w:rsidRPr="002B2D66" w:rsidRDefault="004D1491" w:rsidP="00CB5965">
      <w:pPr>
        <w:pStyle w:val="ListParagraph"/>
        <w:ind w:left="360"/>
        <w:rPr>
          <w:rFonts w:cstheme="minorHAnsi"/>
          <w:lang w:val="fr-FR" w:eastAsia="zh-CN"/>
        </w:rPr>
      </w:pPr>
    </w:p>
    <w:p w14:paraId="2AD29898" w14:textId="689BB71A" w:rsidR="00AA29AF" w:rsidRPr="002B2D66" w:rsidRDefault="00935112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TAR </w:t>
      </w:r>
      <w:r w:rsidR="009F17C5" w:rsidRPr="002B2D66">
        <w:rPr>
          <w:rFonts w:cstheme="minorHAnsi"/>
          <w:b/>
          <w:bCs/>
          <w:lang w:val="fr-FR"/>
        </w:rPr>
        <w:t xml:space="preserve">pour adultes </w:t>
      </w:r>
      <w:r w:rsidR="007C751D" w:rsidRPr="002B2D66">
        <w:rPr>
          <w:rFonts w:cstheme="minorHAnsi"/>
          <w:b/>
          <w:bCs/>
          <w:lang w:val="fr-FR"/>
        </w:rPr>
        <w:t xml:space="preserve">et enfants : </w:t>
      </w:r>
      <w:r w:rsidR="00EB6DAE" w:rsidRPr="002B2D66">
        <w:rPr>
          <w:rFonts w:cstheme="minorHAnsi"/>
          <w:lang w:val="fr-FR"/>
        </w:rPr>
        <w:t>L'option permettant d'</w:t>
      </w:r>
      <w:r w:rsidR="00EB6DAE" w:rsidRPr="002B2D66">
        <w:rPr>
          <w:rFonts w:cstheme="minorHAnsi"/>
          <w:b/>
          <w:bCs/>
          <w:lang w:val="fr-FR"/>
        </w:rPr>
        <w:t xml:space="preserve">ajuster les chiffres du TAR déclarés par les programmes </w:t>
      </w:r>
      <w:r w:rsidR="00EB6DAE" w:rsidRPr="002B2D66">
        <w:rPr>
          <w:rFonts w:cstheme="minorHAnsi"/>
          <w:lang w:val="fr-FR"/>
        </w:rPr>
        <w:t xml:space="preserve">par un facteur de </w:t>
      </w:r>
      <w:r w:rsidR="00AC5226" w:rsidRPr="002B2D66">
        <w:rPr>
          <w:rFonts w:cstheme="minorHAnsi"/>
          <w:lang w:val="fr-FR"/>
        </w:rPr>
        <w:t xml:space="preserve">vérification supérieur (ou inférieur) </w:t>
      </w:r>
      <w:r w:rsidR="00EB6DAE" w:rsidRPr="002B2D66">
        <w:rPr>
          <w:rFonts w:cstheme="minorHAnsi"/>
          <w:lang w:val="fr-FR"/>
        </w:rPr>
        <w:t>reflétant les résultats d'un audit de la qualité des données</w:t>
      </w:r>
      <w:r w:rsidRPr="002B2D66">
        <w:rPr>
          <w:rFonts w:cstheme="minorHAnsi"/>
          <w:lang w:val="fr-FR"/>
        </w:rPr>
        <w:t>,</w:t>
      </w:r>
      <w:r w:rsidR="00EB6DAE" w:rsidRPr="002B2D66">
        <w:rPr>
          <w:rFonts w:cstheme="minorHAnsi"/>
          <w:lang w:val="fr-FR"/>
        </w:rPr>
        <w:t xml:space="preserve"> s'affiche désormais dans le </w:t>
      </w:r>
      <w:r w:rsidR="00AC5226" w:rsidRPr="002B2D66">
        <w:rPr>
          <w:rFonts w:cstheme="minorHAnsi"/>
          <w:lang w:val="fr-FR"/>
        </w:rPr>
        <w:t xml:space="preserve">tableau </w:t>
      </w:r>
      <w:r w:rsidR="00EB6DAE" w:rsidRPr="002B2D66">
        <w:rPr>
          <w:rFonts w:cstheme="minorHAnsi"/>
          <w:lang w:val="fr-FR"/>
        </w:rPr>
        <w:t xml:space="preserve">principal </w:t>
      </w:r>
      <w:r w:rsidR="00AC5226" w:rsidRPr="002B2D66">
        <w:rPr>
          <w:rFonts w:cstheme="minorHAnsi"/>
          <w:lang w:val="fr-FR"/>
        </w:rPr>
        <w:t>de saisie des données. Elle inclut un résumé des valeurs d'ajustement utilisées par tous les pays qui ont fait ces ajustements lors du cycle 2024.</w:t>
      </w:r>
    </w:p>
    <w:p w14:paraId="6C34CC3E" w14:textId="77777777" w:rsidR="00AF03C0" w:rsidRPr="002B2D66" w:rsidRDefault="00AF03C0" w:rsidP="00451256">
      <w:pPr>
        <w:pStyle w:val="ListParagraph"/>
        <w:ind w:left="360"/>
        <w:rPr>
          <w:rFonts w:cstheme="minorHAnsi"/>
          <w:lang w:val="fr-FR"/>
        </w:rPr>
      </w:pPr>
    </w:p>
    <w:p w14:paraId="408C5C3C" w14:textId="1A9AD881" w:rsidR="00AA29AF" w:rsidRPr="002B2D66" w:rsidRDefault="00935112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TAR </w:t>
      </w:r>
      <w:r w:rsidR="009F17C5" w:rsidRPr="002B2D66">
        <w:rPr>
          <w:rFonts w:cstheme="minorHAnsi"/>
          <w:b/>
          <w:bCs/>
          <w:lang w:val="fr-FR"/>
        </w:rPr>
        <w:t xml:space="preserve">pour adultes </w:t>
      </w:r>
      <w:r w:rsidR="009F17C5" w:rsidRPr="002B2D66">
        <w:rPr>
          <w:rFonts w:cstheme="minorHAnsi"/>
          <w:lang w:val="fr-FR"/>
        </w:rPr>
        <w:t xml:space="preserve">: Pour valider la saisie des données ART, le </w:t>
      </w:r>
      <w:r w:rsidR="009F17C5" w:rsidRPr="002B2D66">
        <w:rPr>
          <w:rFonts w:cstheme="minorHAnsi"/>
          <w:b/>
          <w:bCs/>
          <w:lang w:val="fr-FR"/>
        </w:rPr>
        <w:t xml:space="preserve">tableau de validation "Couverture </w:t>
      </w:r>
      <w:r w:rsidRPr="002B2D66">
        <w:rPr>
          <w:rFonts w:cstheme="minorHAnsi"/>
          <w:b/>
          <w:bCs/>
          <w:lang w:val="fr-FR"/>
        </w:rPr>
        <w:t xml:space="preserve">TAR </w:t>
      </w:r>
      <w:r w:rsidR="009F17C5" w:rsidRPr="002B2D66">
        <w:rPr>
          <w:rFonts w:cstheme="minorHAnsi"/>
          <w:b/>
          <w:bCs/>
          <w:lang w:val="fr-FR"/>
        </w:rPr>
        <w:t xml:space="preserve">du </w:t>
      </w:r>
      <w:r w:rsidR="00F97D8B" w:rsidRPr="002B2D66">
        <w:rPr>
          <w:rFonts w:cstheme="minorHAnsi"/>
          <w:b/>
          <w:bCs/>
          <w:lang w:val="fr-FR"/>
        </w:rPr>
        <w:t xml:space="preserve">programme par rapport aux </w:t>
      </w:r>
      <w:r w:rsidR="009F17C5" w:rsidRPr="002B2D66">
        <w:rPr>
          <w:rFonts w:cstheme="minorHAnsi"/>
          <w:b/>
          <w:bCs/>
          <w:lang w:val="fr-FR"/>
        </w:rPr>
        <w:t xml:space="preserve">données </w:t>
      </w:r>
      <w:r w:rsidRPr="002B2D66">
        <w:rPr>
          <w:rFonts w:cstheme="minorHAnsi"/>
          <w:b/>
          <w:bCs/>
          <w:lang w:val="fr-FR"/>
        </w:rPr>
        <w:t>CPN</w:t>
      </w:r>
      <w:r w:rsidR="009F17C5" w:rsidRPr="002B2D66">
        <w:rPr>
          <w:rFonts w:cstheme="minorHAnsi"/>
          <w:b/>
          <w:bCs/>
          <w:lang w:val="fr-FR"/>
        </w:rPr>
        <w:t xml:space="preserve">" </w:t>
      </w:r>
      <w:r w:rsidR="009F17C5" w:rsidRPr="002B2D66">
        <w:rPr>
          <w:rFonts w:cstheme="minorHAnsi"/>
          <w:lang w:val="fr-FR"/>
        </w:rPr>
        <w:t xml:space="preserve">s'affiche désormais dans l'éditeur </w:t>
      </w:r>
      <w:r w:rsidRPr="002B2D66">
        <w:rPr>
          <w:rFonts w:cstheme="minorHAnsi"/>
          <w:lang w:val="fr-FR"/>
        </w:rPr>
        <w:t xml:space="preserve">TAR </w:t>
      </w:r>
      <w:r w:rsidR="009F17C5" w:rsidRPr="002B2D66">
        <w:rPr>
          <w:rFonts w:cstheme="minorHAnsi"/>
          <w:lang w:val="fr-FR"/>
        </w:rPr>
        <w:t>pour adultes.</w:t>
      </w:r>
      <w:r w:rsidR="003D393A" w:rsidRPr="002B2D66">
        <w:rPr>
          <w:rFonts w:cstheme="minorHAnsi"/>
          <w:lang w:val="fr-FR"/>
        </w:rPr>
        <w:br/>
        <w:t xml:space="preserve"> Plus précisément, ce tableau compare :</w:t>
      </w:r>
      <w:r w:rsidR="00912355" w:rsidRPr="002B2D66">
        <w:rPr>
          <w:rFonts w:cstheme="minorHAnsi"/>
          <w:lang w:val="fr-FR"/>
        </w:rPr>
        <w:br/>
      </w:r>
    </w:p>
    <w:p w14:paraId="63BB516C" w14:textId="77777777" w:rsidR="00AA29AF" w:rsidRPr="002B2D66" w:rsidRDefault="009F17C5">
      <w:pPr>
        <w:pStyle w:val="ListParagraph"/>
        <w:numPr>
          <w:ilvl w:val="0"/>
          <w:numId w:val="10"/>
        </w:numPr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>Couverture de Spectrum par le TAR pour les adultes</w:t>
      </w:r>
      <w:r w:rsidR="00642C53" w:rsidRPr="002B2D66">
        <w:rPr>
          <w:rFonts w:cstheme="minorHAnsi"/>
          <w:lang w:val="fr-FR"/>
        </w:rPr>
        <w:t xml:space="preserve">, basée sur le </w:t>
      </w:r>
      <w:r w:rsidRPr="002B2D66">
        <w:rPr>
          <w:rFonts w:cstheme="minorHAnsi"/>
          <w:lang w:val="fr-FR"/>
        </w:rPr>
        <w:t>TAR déclaré par le programme (</w:t>
      </w:r>
      <w:r w:rsidR="00395EB1" w:rsidRPr="002B2D66">
        <w:rPr>
          <w:rFonts w:cstheme="minorHAnsi"/>
          <w:lang w:val="fr-FR"/>
        </w:rPr>
        <w:t xml:space="preserve">le cas échéant, en 2 </w:t>
      </w:r>
      <w:proofErr w:type="gramStart"/>
      <w:r w:rsidR="00395EB1" w:rsidRPr="002B2D66">
        <w:rPr>
          <w:rFonts w:cstheme="minorHAnsi"/>
          <w:lang w:val="fr-FR"/>
        </w:rPr>
        <w:t>lignes</w:t>
      </w:r>
      <w:proofErr w:type="gramEnd"/>
      <w:r w:rsidR="00395EB1" w:rsidRPr="002B2D66">
        <w:rPr>
          <w:rFonts w:cstheme="minorHAnsi"/>
          <w:lang w:val="fr-FR"/>
        </w:rPr>
        <w:t>, avant et après l'</w:t>
      </w:r>
      <w:r w:rsidRPr="002B2D66">
        <w:rPr>
          <w:rFonts w:cstheme="minorHAnsi"/>
          <w:lang w:val="fr-FR"/>
        </w:rPr>
        <w:t xml:space="preserve">ajustement </w:t>
      </w:r>
      <w:r w:rsidR="00395EB1" w:rsidRPr="002B2D66">
        <w:rPr>
          <w:rFonts w:cstheme="minorHAnsi"/>
          <w:lang w:val="fr-FR"/>
        </w:rPr>
        <w:t>basé sur le facteur de vérification</w:t>
      </w:r>
      <w:r w:rsidRPr="002B2D66">
        <w:rPr>
          <w:rFonts w:cstheme="minorHAnsi"/>
          <w:lang w:val="fr-FR"/>
        </w:rPr>
        <w:t>).</w:t>
      </w:r>
    </w:p>
    <w:p w14:paraId="242F7E18" w14:textId="691E4DA1" w:rsidR="00AA29AF" w:rsidRPr="002B2D66" w:rsidRDefault="009F17C5">
      <w:pPr>
        <w:pStyle w:val="ListParagraph"/>
        <w:numPr>
          <w:ilvl w:val="0"/>
          <w:numId w:val="10"/>
        </w:numPr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 xml:space="preserve">Une </w:t>
      </w:r>
      <w:r w:rsidR="003D393A" w:rsidRPr="002B2D66">
        <w:rPr>
          <w:rFonts w:cstheme="minorHAnsi"/>
          <w:lang w:val="fr-FR"/>
        </w:rPr>
        <w:t xml:space="preserve">couverture </w:t>
      </w:r>
      <w:r w:rsidR="00935112" w:rsidRPr="002B2D66">
        <w:rPr>
          <w:rFonts w:cstheme="minorHAnsi"/>
          <w:lang w:val="fr-FR"/>
        </w:rPr>
        <w:t xml:space="preserve">TAR </w:t>
      </w:r>
      <w:r w:rsidRPr="002B2D66">
        <w:rPr>
          <w:rFonts w:cstheme="minorHAnsi"/>
          <w:lang w:val="fr-FR"/>
        </w:rPr>
        <w:t>"prédite" pour les adultes, basée sur l</w:t>
      </w:r>
      <w:r w:rsidR="00935112" w:rsidRPr="002B2D66">
        <w:rPr>
          <w:rFonts w:cstheme="minorHAnsi"/>
          <w:lang w:val="fr-FR"/>
        </w:rPr>
        <w:t xml:space="preserve">e TAR </w:t>
      </w:r>
      <w:r w:rsidR="003D393A" w:rsidRPr="002B2D66">
        <w:rPr>
          <w:rFonts w:cstheme="minorHAnsi"/>
          <w:lang w:val="fr-FR"/>
        </w:rPr>
        <w:t xml:space="preserve">parmi les femmes enceintes entrant en CPN ("sous </w:t>
      </w:r>
      <w:r w:rsidR="00935112" w:rsidRPr="002B2D66">
        <w:rPr>
          <w:rFonts w:cstheme="minorHAnsi"/>
          <w:lang w:val="fr-FR"/>
        </w:rPr>
        <w:t xml:space="preserve">TAR </w:t>
      </w:r>
      <w:r w:rsidR="003D393A" w:rsidRPr="002B2D66">
        <w:rPr>
          <w:rFonts w:cstheme="minorHAnsi"/>
          <w:lang w:val="fr-FR"/>
        </w:rPr>
        <w:t>avant la grossesse actuelle")</w:t>
      </w:r>
      <w:r w:rsidR="00E0561E" w:rsidRPr="002B2D66">
        <w:rPr>
          <w:rFonts w:cstheme="minorHAnsi"/>
          <w:lang w:val="fr-FR"/>
        </w:rPr>
        <w:t xml:space="preserve">, </w:t>
      </w:r>
      <w:r w:rsidR="008901DA" w:rsidRPr="002B2D66">
        <w:rPr>
          <w:rFonts w:cstheme="minorHAnsi"/>
          <w:lang w:val="fr-FR"/>
        </w:rPr>
        <w:t>ajustée pour la fertilité par âge</w:t>
      </w:r>
      <w:r w:rsidR="00E0561E" w:rsidRPr="002B2D66">
        <w:rPr>
          <w:rFonts w:cstheme="minorHAnsi"/>
          <w:lang w:val="fr-FR"/>
        </w:rPr>
        <w:t>.</w:t>
      </w:r>
    </w:p>
    <w:p w14:paraId="4D051ABC" w14:textId="77777777" w:rsidR="008901DA" w:rsidRPr="002B2D66" w:rsidRDefault="008901DA" w:rsidP="004E025F">
      <w:pPr>
        <w:pStyle w:val="ListParagraph"/>
        <w:ind w:left="360"/>
        <w:rPr>
          <w:rFonts w:cstheme="minorHAnsi"/>
          <w:lang w:val="fr-FR"/>
        </w:rPr>
      </w:pPr>
    </w:p>
    <w:p w14:paraId="57DF8B17" w14:textId="4A950B01" w:rsidR="00AA29AF" w:rsidRPr="002B2D66" w:rsidRDefault="009F17C5">
      <w:pPr>
        <w:pStyle w:val="ListParagraph"/>
        <w:ind w:left="360"/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 xml:space="preserve">Si la prédiction et l'estimation basée sur le programme ne sont pas proches, cela peut indiquer des problèmes avec les </w:t>
      </w:r>
      <w:r w:rsidR="00787899" w:rsidRPr="002B2D66">
        <w:rPr>
          <w:rFonts w:cstheme="minorHAnsi"/>
          <w:lang w:val="fr-FR"/>
        </w:rPr>
        <w:t>entrées de données sur le TAR et/ou la PTME chez les adultes</w:t>
      </w:r>
      <w:r w:rsidRPr="002B2D66">
        <w:rPr>
          <w:rFonts w:cstheme="minorHAnsi"/>
          <w:lang w:val="fr-FR"/>
        </w:rPr>
        <w:t xml:space="preserve">. </w:t>
      </w:r>
      <w:r w:rsidR="00092244" w:rsidRPr="002B2D66">
        <w:rPr>
          <w:rFonts w:cstheme="minorHAnsi"/>
          <w:lang w:val="fr-FR"/>
        </w:rPr>
        <w:br/>
      </w:r>
    </w:p>
    <w:p w14:paraId="35E7E7AB" w14:textId="52D40652" w:rsidR="00AA29AF" w:rsidRPr="002B2D66" w:rsidRDefault="00935112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TAR </w:t>
      </w:r>
      <w:r w:rsidR="009F17C5" w:rsidRPr="002B2D66">
        <w:rPr>
          <w:rFonts w:cstheme="minorHAnsi"/>
          <w:b/>
          <w:bCs/>
          <w:lang w:val="fr-FR"/>
        </w:rPr>
        <w:t>adulte</w:t>
      </w:r>
      <w:r w:rsidR="00D84BF0" w:rsidRPr="002B2D66">
        <w:rPr>
          <w:rFonts w:cstheme="minorHAnsi"/>
          <w:b/>
          <w:bCs/>
          <w:lang w:val="fr-FR"/>
        </w:rPr>
        <w:t xml:space="preserve">, Allocation d'une autre région ou d'un autre pays </w:t>
      </w:r>
      <w:r w:rsidR="009F17C5" w:rsidRPr="002B2D66">
        <w:rPr>
          <w:rFonts w:cstheme="minorHAnsi"/>
          <w:lang w:val="fr-FR"/>
        </w:rPr>
        <w:t xml:space="preserve">: </w:t>
      </w:r>
      <w:r w:rsidR="0091660E" w:rsidRPr="002B2D66">
        <w:rPr>
          <w:rFonts w:cstheme="minorHAnsi"/>
          <w:lang w:val="fr-FR"/>
        </w:rPr>
        <w:t xml:space="preserve">Les utilisateurs </w:t>
      </w:r>
      <w:r w:rsidR="00D84BF0" w:rsidRPr="002B2D66">
        <w:rPr>
          <w:rFonts w:cstheme="minorHAnsi"/>
          <w:lang w:val="fr-FR"/>
        </w:rPr>
        <w:t xml:space="preserve">peuvent entrer les nombres enregistrés par le programme de </w:t>
      </w:r>
      <w:r w:rsidR="0091660E" w:rsidRPr="002B2D66">
        <w:rPr>
          <w:rFonts w:cstheme="minorHAnsi"/>
          <w:lang w:val="fr-FR"/>
        </w:rPr>
        <w:t xml:space="preserve">patients non-résidents recevant un traitement dans le pays (ou la zone sous-nationale) modélisé dans 1 fichier Spectrum </w:t>
      </w:r>
      <w:r w:rsidR="00D84BF0" w:rsidRPr="002B2D66">
        <w:rPr>
          <w:rFonts w:cstheme="minorHAnsi"/>
          <w:lang w:val="fr-FR"/>
        </w:rPr>
        <w:t>(sous forme de nombres positifs)</w:t>
      </w:r>
      <w:r w:rsidR="0091660E" w:rsidRPr="002B2D66">
        <w:rPr>
          <w:rFonts w:cstheme="minorHAnsi"/>
          <w:lang w:val="fr-FR"/>
        </w:rPr>
        <w:t xml:space="preserve">, ou de patients résidents recevant un traitement en dehors de la zone modélisée par Spectrum </w:t>
      </w:r>
      <w:r w:rsidR="00D84BF0" w:rsidRPr="002B2D66">
        <w:rPr>
          <w:rFonts w:cstheme="minorHAnsi"/>
          <w:lang w:val="fr-FR"/>
        </w:rPr>
        <w:t xml:space="preserve">(sous forme de nombres négatifs). </w:t>
      </w:r>
      <w:r w:rsidR="00320EFF" w:rsidRPr="002B2D66">
        <w:rPr>
          <w:rFonts w:cstheme="minorHAnsi"/>
          <w:lang w:val="fr-FR"/>
        </w:rPr>
        <w:t>Cette méthode n'est recommandée que dans quelques cas où les données sur les traitements antirétroviraux sont de grande qualité et où l'utilisation transfrontalière des traitements antirétroviraux est importante.</w:t>
      </w:r>
      <w:r w:rsidR="00C95C7F" w:rsidRPr="002B2D66">
        <w:rPr>
          <w:rFonts w:cstheme="minorHAnsi"/>
          <w:lang w:val="fr-FR"/>
        </w:rPr>
        <w:br/>
      </w:r>
    </w:p>
    <w:p w14:paraId="1CAF5DB2" w14:textId="61458034" w:rsidR="00AA29AF" w:rsidRPr="002B2D66" w:rsidRDefault="009F17C5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Connaissance du statut </w:t>
      </w:r>
      <w:r w:rsidR="006F15EB" w:rsidRPr="002B2D66">
        <w:rPr>
          <w:rFonts w:cstheme="minorHAnsi"/>
          <w:lang w:val="fr-FR"/>
        </w:rPr>
        <w:t xml:space="preserve">: </w:t>
      </w:r>
      <w:r w:rsidR="00C75FDE" w:rsidRPr="002B2D66">
        <w:rPr>
          <w:rFonts w:cstheme="minorHAnsi"/>
          <w:lang w:val="fr-FR"/>
        </w:rPr>
        <w:t xml:space="preserve">Les nouveaux </w:t>
      </w:r>
      <w:r w:rsidR="00C75FDE" w:rsidRPr="002B2D66">
        <w:rPr>
          <w:rFonts w:cstheme="minorHAnsi"/>
          <w:i/>
          <w:iCs/>
          <w:lang w:val="fr-FR"/>
        </w:rPr>
        <w:t xml:space="preserve">intrants </w:t>
      </w:r>
      <w:r w:rsidR="00C75FDE" w:rsidRPr="002B2D66">
        <w:rPr>
          <w:rFonts w:cstheme="minorHAnsi"/>
          <w:lang w:val="fr-FR"/>
        </w:rPr>
        <w:t xml:space="preserve">sont les </w:t>
      </w:r>
      <w:r w:rsidR="006C4D9C" w:rsidRPr="002B2D66">
        <w:rPr>
          <w:rFonts w:cstheme="minorHAnsi"/>
          <w:lang w:val="fr-FR"/>
        </w:rPr>
        <w:t xml:space="preserve">données du programme sur le nombre de cellules </w:t>
      </w:r>
      <w:r w:rsidR="00C75FDE" w:rsidRPr="002B2D66">
        <w:rPr>
          <w:rFonts w:cstheme="minorHAnsi"/>
          <w:lang w:val="fr-FR"/>
        </w:rPr>
        <w:t xml:space="preserve">CD4 </w:t>
      </w:r>
      <w:r w:rsidR="006C4D9C" w:rsidRPr="002B2D66">
        <w:rPr>
          <w:rFonts w:cstheme="minorHAnsi"/>
          <w:lang w:val="fr-FR"/>
        </w:rPr>
        <w:t xml:space="preserve">parmi les nouveaux diagnostics de VIH (dans les catégories </w:t>
      </w:r>
      <w:r w:rsidR="00C75FDE" w:rsidRPr="002B2D66">
        <w:rPr>
          <w:rFonts w:cstheme="minorHAnsi"/>
          <w:lang w:val="fr-FR"/>
        </w:rPr>
        <w:t>200-349, 350-499 et 500+ cellules/mL)</w:t>
      </w:r>
      <w:r w:rsidR="001926ED" w:rsidRPr="002B2D66">
        <w:rPr>
          <w:rFonts w:cstheme="minorHAnsi"/>
          <w:lang w:val="fr-FR"/>
        </w:rPr>
        <w:t xml:space="preserve">, qui, avec les </w:t>
      </w:r>
      <w:r w:rsidR="00B50C7E" w:rsidRPr="002B2D66">
        <w:rPr>
          <w:rFonts w:cstheme="minorHAnsi"/>
          <w:lang w:val="fr-FR"/>
        </w:rPr>
        <w:t xml:space="preserve">nouveaux diagnostics de VIH </w:t>
      </w:r>
      <w:r w:rsidR="00FF1241" w:rsidRPr="002B2D66">
        <w:rPr>
          <w:rFonts w:cstheme="minorHAnsi"/>
          <w:lang w:val="fr-FR"/>
        </w:rPr>
        <w:t xml:space="preserve">(tous pour les adultes de 15 ans et plus), </w:t>
      </w:r>
      <w:r w:rsidR="00B50C7E" w:rsidRPr="002B2D66">
        <w:rPr>
          <w:rFonts w:cstheme="minorHAnsi"/>
          <w:lang w:val="fr-FR"/>
        </w:rPr>
        <w:t xml:space="preserve">donnent </w:t>
      </w:r>
      <w:r w:rsidR="00C42402" w:rsidRPr="002B2D66">
        <w:rPr>
          <w:rFonts w:cstheme="minorHAnsi"/>
          <w:lang w:val="fr-FR"/>
        </w:rPr>
        <w:t xml:space="preserve">une couverture du </w:t>
      </w:r>
      <w:r w:rsidR="00B50C7E" w:rsidRPr="002B2D66">
        <w:rPr>
          <w:rFonts w:cstheme="minorHAnsi"/>
          <w:lang w:val="fr-FR"/>
        </w:rPr>
        <w:t>test CD4</w:t>
      </w:r>
      <w:r w:rsidR="00327E99" w:rsidRPr="002B2D66">
        <w:rPr>
          <w:rFonts w:cstheme="minorHAnsi"/>
          <w:lang w:val="fr-FR"/>
        </w:rPr>
        <w:t xml:space="preserve">. Ces données n'influencent pas l'estimation, mais constituent un contexte utile </w:t>
      </w:r>
      <w:r w:rsidR="009074EB" w:rsidRPr="002B2D66">
        <w:rPr>
          <w:rFonts w:cstheme="minorHAnsi"/>
          <w:lang w:val="fr-FR"/>
        </w:rPr>
        <w:t>pour interpréter</w:t>
      </w:r>
      <w:r w:rsidR="00327E99" w:rsidRPr="002B2D66">
        <w:rPr>
          <w:rFonts w:cstheme="minorHAnsi"/>
          <w:lang w:val="fr-FR"/>
        </w:rPr>
        <w:t xml:space="preserve"> les tendances du statut connu des </w:t>
      </w:r>
      <w:r w:rsidR="00FF1241" w:rsidRPr="002B2D66">
        <w:rPr>
          <w:rFonts w:cstheme="minorHAnsi"/>
          <w:lang w:val="fr-FR"/>
        </w:rPr>
        <w:t xml:space="preserve">adultes </w:t>
      </w:r>
      <w:r w:rsidR="00F15CAB" w:rsidRPr="002B2D66">
        <w:rPr>
          <w:rFonts w:cstheme="minorHAnsi"/>
          <w:lang w:val="fr-FR"/>
        </w:rPr>
        <w:t xml:space="preserve">et de </w:t>
      </w:r>
      <w:r w:rsidR="00C73A95" w:rsidRPr="002B2D66">
        <w:rPr>
          <w:rFonts w:cstheme="minorHAnsi"/>
          <w:lang w:val="fr-FR"/>
        </w:rPr>
        <w:t xml:space="preserve">l’estimation par Spectrum du stade avancé de l’infection à </w:t>
      </w:r>
      <w:r w:rsidR="00F15CAB" w:rsidRPr="002B2D66">
        <w:rPr>
          <w:rFonts w:cstheme="minorHAnsi"/>
          <w:lang w:val="fr-FR"/>
        </w:rPr>
        <w:t>VIH (voir les résultats ci-dessous).</w:t>
      </w:r>
      <w:r w:rsidR="00D2387A" w:rsidRPr="002B2D66">
        <w:rPr>
          <w:rFonts w:cstheme="minorHAnsi"/>
          <w:lang w:val="fr-FR"/>
        </w:rPr>
        <w:br/>
      </w:r>
    </w:p>
    <w:p w14:paraId="0EAA2F96" w14:textId="01353071" w:rsidR="00AA29AF" w:rsidRPr="002B2D66" w:rsidRDefault="009F17C5">
      <w:pPr>
        <w:pStyle w:val="ListParagraph"/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>Dans l'</w:t>
      </w:r>
      <w:r w:rsidR="001F77BE" w:rsidRPr="002B2D66">
        <w:rPr>
          <w:rFonts w:cstheme="minorHAnsi"/>
          <w:lang w:val="fr-FR"/>
        </w:rPr>
        <w:t>onglet "</w:t>
      </w:r>
      <w:r w:rsidRPr="002B2D66">
        <w:rPr>
          <w:rFonts w:cstheme="minorHAnsi"/>
          <w:i/>
          <w:iCs/>
          <w:lang w:val="fr-FR"/>
        </w:rPr>
        <w:t>Shiny 90"</w:t>
      </w:r>
      <w:r w:rsidR="001F77BE" w:rsidRPr="002B2D66">
        <w:rPr>
          <w:rFonts w:cstheme="minorHAnsi"/>
          <w:lang w:val="fr-FR"/>
        </w:rPr>
        <w:t>, les nouve</w:t>
      </w:r>
      <w:r w:rsidR="00273667" w:rsidRPr="002B2D66">
        <w:rPr>
          <w:rFonts w:cstheme="minorHAnsi"/>
          <w:lang w:val="fr-FR"/>
        </w:rPr>
        <w:t xml:space="preserve">aux résultats visualisés </w:t>
      </w:r>
      <w:r w:rsidR="00A300F3" w:rsidRPr="002B2D66">
        <w:rPr>
          <w:rFonts w:cstheme="minorHAnsi"/>
          <w:lang w:val="fr-FR"/>
        </w:rPr>
        <w:t>(sous : "</w:t>
      </w:r>
      <w:r w:rsidR="00A300F3" w:rsidRPr="002B2D66">
        <w:rPr>
          <w:rFonts w:cstheme="minorHAnsi"/>
          <w:i/>
          <w:iCs/>
          <w:lang w:val="fr-FR"/>
        </w:rPr>
        <w:t xml:space="preserve">Single </w:t>
      </w:r>
      <w:r w:rsidR="005E3B30" w:rsidRPr="002B2D66">
        <w:rPr>
          <w:rFonts w:cstheme="minorHAnsi"/>
          <w:i/>
          <w:iCs/>
          <w:lang w:val="fr-FR"/>
        </w:rPr>
        <w:t>Chart"</w:t>
      </w:r>
      <w:r w:rsidR="00C42402" w:rsidRPr="002B2D66">
        <w:rPr>
          <w:rFonts w:cstheme="minorHAnsi"/>
          <w:lang w:val="fr-FR"/>
        </w:rPr>
        <w:t>, tous pour les adultes de 15 ans et plus</w:t>
      </w:r>
      <w:r w:rsidR="005E3B30" w:rsidRPr="002B2D66">
        <w:rPr>
          <w:rFonts w:cstheme="minorHAnsi"/>
          <w:lang w:val="fr-FR"/>
        </w:rPr>
        <w:t xml:space="preserve">) </w:t>
      </w:r>
      <w:r w:rsidR="001F77BE" w:rsidRPr="002B2D66">
        <w:rPr>
          <w:rFonts w:cstheme="minorHAnsi"/>
          <w:lang w:val="fr-FR"/>
        </w:rPr>
        <w:t>sont les suivants :</w:t>
      </w:r>
    </w:p>
    <w:p w14:paraId="31F050A1" w14:textId="77777777" w:rsidR="00AA29AF" w:rsidRPr="002B2D66" w:rsidRDefault="009F17C5">
      <w:pPr>
        <w:pStyle w:val="ListParagraph"/>
        <w:numPr>
          <w:ilvl w:val="0"/>
          <w:numId w:val="9"/>
        </w:numPr>
        <w:rPr>
          <w:rFonts w:cstheme="minorHAnsi"/>
        </w:rPr>
      </w:pPr>
      <w:r w:rsidRPr="002B2D66">
        <w:rPr>
          <w:rFonts w:cstheme="minorHAnsi"/>
        </w:rPr>
        <w:t>Nombre de tests VIH</w:t>
      </w:r>
    </w:p>
    <w:p w14:paraId="6B5200BC" w14:textId="3FF5B23B" w:rsidR="00AA29AF" w:rsidRPr="002B2D66" w:rsidRDefault="009F17C5">
      <w:pPr>
        <w:pStyle w:val="ListParagraph"/>
        <w:numPr>
          <w:ilvl w:val="0"/>
          <w:numId w:val="9"/>
        </w:numPr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 xml:space="preserve">Répartition des tests de dépistage du VIH en fonction du degré de </w:t>
      </w:r>
      <w:r w:rsidR="00C66846" w:rsidRPr="002B2D66">
        <w:rPr>
          <w:rFonts w:cstheme="minorHAnsi"/>
          <w:lang w:val="fr-FR"/>
        </w:rPr>
        <w:t>connaissance du statut</w:t>
      </w:r>
    </w:p>
    <w:p w14:paraId="43F31ABE" w14:textId="1A7E7AAE" w:rsidR="00AA29AF" w:rsidRPr="002B2D66" w:rsidRDefault="5F46CD0A">
      <w:pPr>
        <w:pStyle w:val="ListParagraph"/>
        <w:numPr>
          <w:ilvl w:val="0"/>
          <w:numId w:val="9"/>
        </w:numPr>
        <w:rPr>
          <w:lang w:val="fr-FR"/>
        </w:rPr>
      </w:pPr>
      <w:r w:rsidRPr="002B2D66">
        <w:rPr>
          <w:lang w:val="fr-FR"/>
        </w:rPr>
        <w:t>Positivité des tests (</w:t>
      </w:r>
      <w:r w:rsidR="00465C44" w:rsidRPr="002B2D66">
        <w:rPr>
          <w:lang w:val="fr-FR"/>
        </w:rPr>
        <w:t xml:space="preserve">y compris les </w:t>
      </w:r>
      <w:r w:rsidR="00AF0DC5" w:rsidRPr="002B2D66">
        <w:rPr>
          <w:lang w:val="fr-FR"/>
        </w:rPr>
        <w:t>rediagnostiqués</w:t>
      </w:r>
      <w:r w:rsidR="00465C44" w:rsidRPr="002B2D66">
        <w:rPr>
          <w:lang w:val="fr-FR"/>
        </w:rPr>
        <w:t xml:space="preserve">) et rendement (exclusivement les nouveaux diagnostics) </w:t>
      </w:r>
      <w:r w:rsidR="00D93179" w:rsidRPr="002B2D66">
        <w:rPr>
          <w:lang w:val="fr-FR"/>
        </w:rPr>
        <w:t xml:space="preserve">par rapport au </w:t>
      </w:r>
      <w:r w:rsidR="2DDD04FA" w:rsidRPr="002B2D66">
        <w:rPr>
          <w:lang w:val="fr-FR"/>
        </w:rPr>
        <w:t>nombre total de tests déclarés</w:t>
      </w:r>
      <w:r w:rsidR="00D93179" w:rsidRPr="002B2D66">
        <w:rPr>
          <w:lang w:val="fr-FR"/>
        </w:rPr>
        <w:t>, comparés à la prévalence de la population</w:t>
      </w:r>
      <w:r w:rsidRPr="002B2D66">
        <w:rPr>
          <w:lang w:val="fr-FR"/>
        </w:rPr>
        <w:t>.</w:t>
      </w:r>
      <w:r w:rsidR="005E3B30" w:rsidRPr="002B2D66">
        <w:rPr>
          <w:lang w:val="fr-FR"/>
        </w:rPr>
        <w:br/>
      </w:r>
    </w:p>
    <w:p w14:paraId="6055BAF8" w14:textId="77777777" w:rsidR="00AA29AF" w:rsidRPr="002B2D66" w:rsidRDefault="009F17C5">
      <w:pPr>
        <w:pStyle w:val="Heading2"/>
        <w:rPr>
          <w:rFonts w:asciiTheme="minorHAnsi" w:hAnsiTheme="minorHAnsi" w:cstheme="minorHAnsi"/>
          <w:sz w:val="18"/>
          <w:szCs w:val="18"/>
          <w:lang w:val="fr-FR"/>
        </w:rPr>
      </w:pPr>
      <w:r w:rsidRPr="002B2D66">
        <w:rPr>
          <w:rFonts w:asciiTheme="minorHAnsi" w:hAnsiTheme="minorHAnsi" w:cstheme="minorHAnsi"/>
          <w:sz w:val="18"/>
          <w:szCs w:val="18"/>
          <w:lang w:val="fr-FR"/>
        </w:rPr>
        <w:t xml:space="preserve">Options avancées </w:t>
      </w:r>
      <w:r w:rsidR="005A1453" w:rsidRPr="002B2D66">
        <w:rPr>
          <w:rFonts w:asciiTheme="minorHAnsi" w:hAnsiTheme="minorHAnsi" w:cstheme="minorHAnsi"/>
          <w:sz w:val="18"/>
          <w:szCs w:val="18"/>
          <w:lang w:val="fr-FR"/>
        </w:rPr>
        <w:t xml:space="preserve">: </w:t>
      </w:r>
      <w:r w:rsidR="24C55949" w:rsidRPr="002B2D66">
        <w:rPr>
          <w:rFonts w:asciiTheme="minorHAnsi" w:hAnsiTheme="minorHAnsi" w:cstheme="minorHAnsi"/>
          <w:sz w:val="18"/>
          <w:szCs w:val="18"/>
          <w:lang w:val="fr-FR"/>
        </w:rPr>
        <w:t xml:space="preserve">paramètres </w:t>
      </w:r>
      <w:r w:rsidR="1010C5C0" w:rsidRPr="002B2D66">
        <w:rPr>
          <w:rFonts w:asciiTheme="minorHAnsi" w:hAnsiTheme="minorHAnsi" w:cstheme="minorHAnsi"/>
          <w:sz w:val="18"/>
          <w:szCs w:val="18"/>
          <w:lang w:val="fr-FR"/>
        </w:rPr>
        <w:t xml:space="preserve">et </w:t>
      </w:r>
      <w:r w:rsidR="00E71322" w:rsidRPr="002B2D66">
        <w:rPr>
          <w:rFonts w:asciiTheme="minorHAnsi" w:hAnsiTheme="minorHAnsi" w:cstheme="minorHAnsi"/>
          <w:sz w:val="18"/>
          <w:szCs w:val="18"/>
          <w:lang w:val="fr-FR"/>
        </w:rPr>
        <w:t xml:space="preserve">modèles </w:t>
      </w:r>
      <w:r w:rsidR="354A1F71" w:rsidRPr="002B2D66">
        <w:rPr>
          <w:rFonts w:asciiTheme="minorHAnsi" w:hAnsiTheme="minorHAnsi" w:cstheme="minorHAnsi"/>
          <w:sz w:val="18"/>
          <w:szCs w:val="18"/>
          <w:lang w:val="fr-FR"/>
        </w:rPr>
        <w:t xml:space="preserve">par défaut </w:t>
      </w:r>
      <w:r w:rsidR="00E71322" w:rsidRPr="002B2D66">
        <w:rPr>
          <w:rFonts w:asciiTheme="minorHAnsi" w:hAnsiTheme="minorHAnsi" w:cstheme="minorHAnsi"/>
          <w:sz w:val="18"/>
          <w:szCs w:val="18"/>
          <w:lang w:val="fr-FR"/>
        </w:rPr>
        <w:t>et régionaux</w:t>
      </w:r>
      <w:r w:rsidRPr="002B2D66">
        <w:rPr>
          <w:rFonts w:asciiTheme="minorHAnsi" w:hAnsiTheme="minorHAnsi" w:cstheme="minorHAnsi"/>
          <w:sz w:val="18"/>
          <w:szCs w:val="18"/>
          <w:lang w:val="fr-FR"/>
        </w:rPr>
        <w:br/>
      </w:r>
    </w:p>
    <w:p w14:paraId="53F2B507" w14:textId="00F43108" w:rsidR="00AA29AF" w:rsidRPr="002B2D66" w:rsidRDefault="006B1066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Mortalité </w:t>
      </w:r>
      <w:r w:rsidR="00993F10" w:rsidRPr="002B2D66">
        <w:rPr>
          <w:rFonts w:cstheme="minorHAnsi"/>
          <w:b/>
          <w:bCs/>
          <w:lang w:val="fr-FR"/>
        </w:rPr>
        <w:t>- régions WCENA, CAR, EECA et AP</w:t>
      </w:r>
      <w:r w:rsidRPr="002B2D66">
        <w:rPr>
          <w:rFonts w:cstheme="minorHAnsi"/>
          <w:lang w:val="fr-FR"/>
        </w:rPr>
        <w:t xml:space="preserve">. </w:t>
      </w:r>
      <w:r w:rsidR="00993F10" w:rsidRPr="002B2D66">
        <w:rPr>
          <w:rFonts w:cstheme="minorHAnsi"/>
          <w:lang w:val="fr-FR"/>
        </w:rPr>
        <w:t xml:space="preserve">Dans ces régions, la surmortalité parmi les PVVIH est maintenant répartie entre les décès dus au sida et les décès non dus au sida. </w:t>
      </w:r>
      <w:r w:rsidR="00C03BA7" w:rsidRPr="002B2D66">
        <w:rPr>
          <w:rFonts w:cstheme="minorHAnsi"/>
          <w:lang w:val="fr-FR"/>
        </w:rPr>
        <w:t xml:space="preserve">L'affinement implique que les </w:t>
      </w:r>
      <w:r w:rsidR="008B2AF6" w:rsidRPr="002B2D66">
        <w:rPr>
          <w:rFonts w:cstheme="minorHAnsi"/>
          <w:lang w:val="fr-FR"/>
        </w:rPr>
        <w:t xml:space="preserve">décès dus au SIDA </w:t>
      </w:r>
      <w:r w:rsidR="00C03BA7" w:rsidRPr="002B2D66">
        <w:rPr>
          <w:rFonts w:cstheme="minorHAnsi"/>
          <w:lang w:val="fr-FR"/>
        </w:rPr>
        <w:t xml:space="preserve">dans </w:t>
      </w:r>
      <w:r w:rsidR="00C66846" w:rsidRPr="002B2D66">
        <w:rPr>
          <w:rFonts w:cstheme="minorHAnsi"/>
          <w:lang w:val="fr-FR"/>
        </w:rPr>
        <w:t>les résultats</w:t>
      </w:r>
      <w:r w:rsidR="00C03BA7" w:rsidRPr="002B2D66">
        <w:rPr>
          <w:rFonts w:cstheme="minorHAnsi"/>
          <w:lang w:val="fr-FR"/>
        </w:rPr>
        <w:t xml:space="preserve"> Spectrum </w:t>
      </w:r>
      <w:r w:rsidR="008B2AF6" w:rsidRPr="002B2D66">
        <w:rPr>
          <w:rFonts w:cstheme="minorHAnsi"/>
          <w:lang w:val="fr-FR"/>
        </w:rPr>
        <w:t xml:space="preserve">sont maintenant légèrement inférieurs, en particulier pour les années récentes dans les régions à revenu élevé avec une couverture </w:t>
      </w:r>
      <w:r w:rsidR="00C66846" w:rsidRPr="002B2D66">
        <w:rPr>
          <w:rFonts w:cstheme="minorHAnsi"/>
          <w:lang w:val="fr-FR"/>
        </w:rPr>
        <w:t xml:space="preserve">TAR </w:t>
      </w:r>
      <w:r w:rsidR="008B2AF6" w:rsidRPr="002B2D66">
        <w:rPr>
          <w:rFonts w:cstheme="minorHAnsi"/>
          <w:lang w:val="fr-FR"/>
        </w:rPr>
        <w:t>élevée et un</w:t>
      </w:r>
      <w:r w:rsidR="00C66846" w:rsidRPr="002B2D66">
        <w:rPr>
          <w:rFonts w:cstheme="minorHAnsi"/>
          <w:lang w:val="fr-FR"/>
        </w:rPr>
        <w:t xml:space="preserve"> contexte de</w:t>
      </w:r>
      <w:r w:rsidR="008B2AF6" w:rsidRPr="002B2D66">
        <w:rPr>
          <w:rFonts w:cstheme="minorHAnsi"/>
          <w:lang w:val="fr-FR"/>
        </w:rPr>
        <w:t xml:space="preserve"> faible </w:t>
      </w:r>
      <w:r w:rsidR="00C03BA7" w:rsidRPr="002B2D66">
        <w:rPr>
          <w:rFonts w:cstheme="minorHAnsi"/>
          <w:lang w:val="fr-FR"/>
        </w:rPr>
        <w:t>mortalité</w:t>
      </w:r>
      <w:r w:rsidRPr="002B2D66">
        <w:rPr>
          <w:rFonts w:cstheme="minorHAnsi"/>
          <w:lang w:val="fr-FR"/>
        </w:rPr>
        <w:t xml:space="preserve">. </w:t>
      </w:r>
      <w:r w:rsidR="00E000F1" w:rsidRPr="002B2D66">
        <w:rPr>
          <w:rFonts w:cstheme="minorHAnsi"/>
          <w:lang w:val="fr-FR"/>
        </w:rPr>
        <w:t xml:space="preserve">Veuillez "Rétablir les valeurs par défaut" pour tous les </w:t>
      </w:r>
      <w:r w:rsidR="00E5000A" w:rsidRPr="002B2D66">
        <w:rPr>
          <w:rFonts w:cstheme="minorHAnsi"/>
          <w:lang w:val="fr-FR"/>
        </w:rPr>
        <w:t xml:space="preserve">paramètres de </w:t>
      </w:r>
      <w:r w:rsidR="00E000F1" w:rsidRPr="002B2D66">
        <w:rPr>
          <w:rFonts w:cstheme="minorHAnsi"/>
          <w:lang w:val="fr-FR"/>
        </w:rPr>
        <w:t xml:space="preserve">mortalité </w:t>
      </w:r>
      <w:r w:rsidR="00E5000A" w:rsidRPr="002B2D66">
        <w:rPr>
          <w:rFonts w:cstheme="minorHAnsi"/>
          <w:lang w:val="fr-FR"/>
        </w:rPr>
        <w:t xml:space="preserve">(sous </w:t>
      </w:r>
      <w:r w:rsidR="00C66846" w:rsidRPr="002B2D66">
        <w:rPr>
          <w:rFonts w:cstheme="minorHAnsi"/>
          <w:lang w:val="fr-FR"/>
        </w:rPr>
        <w:t xml:space="preserve">TAR </w:t>
      </w:r>
      <w:r w:rsidR="00E5000A" w:rsidRPr="002B2D66">
        <w:rPr>
          <w:rFonts w:cstheme="minorHAnsi"/>
          <w:lang w:val="fr-FR"/>
        </w:rPr>
        <w:t xml:space="preserve">et hors </w:t>
      </w:r>
      <w:r w:rsidR="00C66846" w:rsidRPr="002B2D66">
        <w:rPr>
          <w:rFonts w:cstheme="minorHAnsi"/>
          <w:lang w:val="fr-FR"/>
        </w:rPr>
        <w:t>TAR</w:t>
      </w:r>
      <w:r w:rsidR="00E5000A" w:rsidRPr="002B2D66">
        <w:rPr>
          <w:rFonts w:cstheme="minorHAnsi"/>
          <w:lang w:val="fr-FR"/>
        </w:rPr>
        <w:t>) pour que ce raffinement prenne effet.</w:t>
      </w:r>
      <w:r w:rsidR="00E71322" w:rsidRPr="002B2D66">
        <w:rPr>
          <w:rFonts w:cstheme="minorHAnsi"/>
          <w:lang w:val="fr-FR"/>
        </w:rPr>
        <w:br/>
      </w:r>
    </w:p>
    <w:p w14:paraId="2117ADD4" w14:textId="643FFE67" w:rsidR="00AA29AF" w:rsidRPr="002B2D66" w:rsidRDefault="009F17C5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</w:rPr>
      </w:pPr>
      <w:r w:rsidRPr="002B2D66">
        <w:rPr>
          <w:b/>
          <w:bCs/>
          <w:lang w:val="fr-FR"/>
        </w:rPr>
        <w:lastRenderedPageBreak/>
        <w:t xml:space="preserve">Probabilités de transmission de la MTCT : </w:t>
      </w:r>
      <w:r w:rsidRPr="002B2D66">
        <w:rPr>
          <w:lang w:val="fr-FR"/>
        </w:rPr>
        <w:t xml:space="preserve">Veuillez adopter de nouvelles valeurs, basées sur </w:t>
      </w:r>
      <w:r w:rsidR="001A48AA" w:rsidRPr="002B2D66">
        <w:rPr>
          <w:lang w:val="fr-FR"/>
        </w:rPr>
        <w:t xml:space="preserve">une récente analyse systématique de la littérature. Il peut en résulter davantage d'infections </w:t>
      </w:r>
      <w:r w:rsidR="00C66846" w:rsidRPr="002B2D66">
        <w:rPr>
          <w:lang w:val="fr-FR"/>
        </w:rPr>
        <w:t xml:space="preserve">chez les </w:t>
      </w:r>
      <w:r w:rsidR="00AF0DC5" w:rsidRPr="002B2D66">
        <w:rPr>
          <w:lang w:val="fr-FR"/>
        </w:rPr>
        <w:t>nouveau-nés</w:t>
      </w:r>
      <w:r w:rsidR="00C66846" w:rsidRPr="002B2D66">
        <w:rPr>
          <w:lang w:val="fr-FR"/>
        </w:rPr>
        <w:t xml:space="preserve"> </w:t>
      </w:r>
      <w:r w:rsidR="001A48AA" w:rsidRPr="002B2D66">
        <w:rPr>
          <w:lang w:val="fr-FR"/>
        </w:rPr>
        <w:t>pendant l'allaitement et moins d'infections périnatales</w:t>
      </w:r>
      <w:r w:rsidR="002E57E9" w:rsidRPr="002B2D66">
        <w:rPr>
          <w:lang w:val="fr-FR"/>
        </w:rPr>
        <w:t>, mais l'</w:t>
      </w:r>
      <w:r w:rsidR="001A48AA" w:rsidRPr="002B2D66">
        <w:rPr>
          <w:lang w:val="fr-FR"/>
        </w:rPr>
        <w:t xml:space="preserve">effet </w:t>
      </w:r>
      <w:r w:rsidR="002E57E9" w:rsidRPr="002B2D66">
        <w:rPr>
          <w:lang w:val="fr-FR"/>
        </w:rPr>
        <w:t xml:space="preserve">est minime </w:t>
      </w:r>
      <w:r w:rsidR="001A48AA" w:rsidRPr="002B2D66">
        <w:rPr>
          <w:lang w:val="fr-FR"/>
        </w:rPr>
        <w:t xml:space="preserve">au cours des dernières années, lorsque la couverture et la rétention de la PTME sont élevées. </w:t>
      </w:r>
      <w:r w:rsidR="00F4741D" w:rsidRPr="002B2D66">
        <w:rPr>
          <w:lang w:val="fr-FR"/>
        </w:rPr>
        <w:t xml:space="preserve">Des détails sont à </w:t>
      </w:r>
      <w:r w:rsidR="00FE12EF" w:rsidRPr="002B2D66">
        <w:rPr>
          <w:lang w:val="fr-FR"/>
        </w:rPr>
        <w:t xml:space="preserve">paraître </w:t>
      </w:r>
      <w:r w:rsidR="00F4741D" w:rsidRPr="002B2D66">
        <w:rPr>
          <w:lang w:val="fr-FR"/>
        </w:rPr>
        <w:t xml:space="preserve">dans </w:t>
      </w:r>
      <w:r w:rsidR="00F4741D" w:rsidRPr="002B2D66">
        <w:rPr>
          <w:i/>
          <w:iCs/>
          <w:lang w:val="fr-FR"/>
        </w:rPr>
        <w:t xml:space="preserve">Walters-M et Bulterys-M et al. </w:t>
      </w:r>
      <w:r w:rsidR="00F4741D" w:rsidRPr="002B2D66">
        <w:rPr>
          <w:i/>
          <w:iCs/>
        </w:rPr>
        <w:t>Probability of vertical HIV transmission : A systematic review and meta-regression.</w:t>
      </w:r>
      <w:r w:rsidRPr="002B2D66">
        <w:rPr>
          <w:rFonts w:eastAsiaTheme="majorEastAsia"/>
          <w:color w:val="2F5496" w:themeColor="accent1" w:themeShade="BF"/>
        </w:rPr>
        <w:br/>
      </w:r>
    </w:p>
    <w:p w14:paraId="24746127" w14:textId="44AF8DE0" w:rsidR="00AA29AF" w:rsidRPr="002B2D66" w:rsidRDefault="009F17C5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  <w:lang w:val="fr-FR"/>
        </w:rPr>
      </w:pPr>
      <w:r w:rsidRPr="002B2D66">
        <w:rPr>
          <w:lang w:val="fr-FR"/>
        </w:rPr>
        <w:t xml:space="preserve">Une nouvelle section détaille les </w:t>
      </w:r>
      <w:r w:rsidRPr="002B2D66">
        <w:rPr>
          <w:b/>
          <w:bCs/>
          <w:lang w:val="fr-FR"/>
        </w:rPr>
        <w:t>hypothèses utilisées pour estimer la méningite à cryptocoques</w:t>
      </w:r>
      <w:r w:rsidRPr="002B2D66">
        <w:rPr>
          <w:lang w:val="fr-FR"/>
        </w:rPr>
        <w:t xml:space="preserve">, en tant que sous-ensemble des décès dus au sida (couverture des PVVIH </w:t>
      </w:r>
      <w:r w:rsidR="00FE12EF" w:rsidRPr="002B2D66">
        <w:rPr>
          <w:lang w:val="fr-FR"/>
        </w:rPr>
        <w:t xml:space="preserve">avec </w:t>
      </w:r>
      <w:r w:rsidRPr="002B2D66">
        <w:rPr>
          <w:lang w:val="fr-FR"/>
        </w:rPr>
        <w:t>l'antigène</w:t>
      </w:r>
      <w:r w:rsidR="00FE12EF" w:rsidRPr="002B2D66">
        <w:rPr>
          <w:lang w:val="fr-FR"/>
        </w:rPr>
        <w:t xml:space="preserve"> de l’infection</w:t>
      </w:r>
      <w:r w:rsidRPr="002B2D66">
        <w:rPr>
          <w:lang w:val="fr-FR"/>
        </w:rPr>
        <w:t xml:space="preserve"> cryptococcique qui sont prises en charge ; progression vers les cas cliniques et les décès)</w:t>
      </w:r>
      <w:r w:rsidR="00CA2EB3" w:rsidRPr="002B2D66">
        <w:rPr>
          <w:lang w:val="fr-FR"/>
        </w:rPr>
        <w:t xml:space="preserve">. </w:t>
      </w:r>
      <w:r w:rsidR="00E71322" w:rsidRPr="002B2D66">
        <w:rPr>
          <w:lang w:val="fr-FR"/>
        </w:rPr>
        <w:br/>
      </w:r>
    </w:p>
    <w:p w14:paraId="1FBFE56B" w14:textId="77777777" w:rsidR="00AA29AF" w:rsidRPr="002B2D66" w:rsidRDefault="009F17C5">
      <w:pPr>
        <w:rPr>
          <w:rFonts w:eastAsiaTheme="majorEastAsia" w:cstheme="minorHAnsi"/>
          <w:color w:val="2F5496" w:themeColor="accent1" w:themeShade="BF"/>
        </w:rPr>
      </w:pPr>
      <w:proofErr w:type="spellStart"/>
      <w:r w:rsidRPr="002B2D66">
        <w:rPr>
          <w:rFonts w:eastAsiaTheme="majorEastAsia" w:cstheme="minorHAnsi"/>
          <w:color w:val="2F5496" w:themeColor="accent1" w:themeShade="BF"/>
        </w:rPr>
        <w:t>Modèles</w:t>
      </w:r>
      <w:proofErr w:type="spellEnd"/>
      <w:r w:rsidRPr="002B2D66">
        <w:rPr>
          <w:rFonts w:eastAsiaTheme="majorEastAsia" w:cstheme="minorHAnsi"/>
          <w:color w:val="2F5496" w:themeColor="accent1" w:themeShade="BF"/>
        </w:rPr>
        <w:t xml:space="preserve"> </w:t>
      </w:r>
      <w:proofErr w:type="spellStart"/>
      <w:r w:rsidRPr="002B2D66">
        <w:rPr>
          <w:rFonts w:eastAsiaTheme="majorEastAsia" w:cstheme="minorHAnsi"/>
          <w:color w:val="2F5496" w:themeColor="accent1" w:themeShade="BF"/>
        </w:rPr>
        <w:t>d'incidence</w:t>
      </w:r>
      <w:proofErr w:type="spellEnd"/>
    </w:p>
    <w:p w14:paraId="1FD101F4" w14:textId="77777777" w:rsidR="00AA29AF" w:rsidRPr="002B2D66" w:rsidRDefault="009F17C5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 xml:space="preserve">CSAVR. </w:t>
      </w:r>
      <w:r w:rsidR="00EA6E56" w:rsidRPr="002B2D66">
        <w:rPr>
          <w:rFonts w:cstheme="minorHAnsi"/>
          <w:b/>
          <w:bCs/>
          <w:lang w:val="fr-FR"/>
        </w:rPr>
        <w:t xml:space="preserve">L'interface utilisateur </w:t>
      </w:r>
      <w:r w:rsidR="00EA6E56" w:rsidRPr="002B2D66">
        <w:rPr>
          <w:rFonts w:cstheme="minorHAnsi"/>
          <w:lang w:val="fr-FR"/>
        </w:rPr>
        <w:t>a été affinée, les utilisateurs ont désormais la possibilité de choisir :</w:t>
      </w:r>
    </w:p>
    <w:p w14:paraId="3044BD71" w14:textId="77777777" w:rsidR="00AA29AF" w:rsidRPr="002B2D66" w:rsidRDefault="009F17C5" w:rsidP="00572C34">
      <w:pPr>
        <w:pStyle w:val="ListParagraph"/>
        <w:numPr>
          <w:ilvl w:val="1"/>
          <w:numId w:val="2"/>
        </w:numPr>
        <w:ind w:left="709"/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 xml:space="preserve">Laquelle des 6 courbes doit être exécutée </w:t>
      </w:r>
      <w:r w:rsidR="00F936DF" w:rsidRPr="002B2D66">
        <w:rPr>
          <w:rFonts w:cstheme="minorHAnsi"/>
          <w:lang w:val="fr-FR"/>
        </w:rPr>
        <w:t xml:space="preserve">: </w:t>
      </w:r>
      <w:r w:rsidRPr="002B2D66">
        <w:rPr>
          <w:rFonts w:cstheme="minorHAnsi"/>
          <w:lang w:val="fr-FR"/>
        </w:rPr>
        <w:t xml:space="preserve">1, une sélection ou les </w:t>
      </w:r>
      <w:r w:rsidR="00F936DF" w:rsidRPr="002B2D66">
        <w:rPr>
          <w:rFonts w:cstheme="minorHAnsi"/>
          <w:lang w:val="fr-FR"/>
        </w:rPr>
        <w:t>6 ;</w:t>
      </w:r>
    </w:p>
    <w:p w14:paraId="58245CAF" w14:textId="11D852EE" w:rsidR="00AA29AF" w:rsidRPr="002B2D66" w:rsidRDefault="05778A92" w:rsidP="00572C34">
      <w:pPr>
        <w:pStyle w:val="ListParagraph"/>
        <w:numPr>
          <w:ilvl w:val="1"/>
          <w:numId w:val="2"/>
        </w:numPr>
        <w:ind w:left="709"/>
        <w:rPr>
          <w:lang w:val="fr-FR"/>
        </w:rPr>
      </w:pPr>
      <w:r w:rsidRPr="38A9F04E">
        <w:rPr>
          <w:lang w:val="fr-FR"/>
        </w:rPr>
        <w:t xml:space="preserve">Le début et </w:t>
      </w:r>
      <w:r w:rsidR="7532BA54" w:rsidRPr="38A9F04E">
        <w:rPr>
          <w:lang w:val="fr-FR"/>
        </w:rPr>
        <w:t>la</w:t>
      </w:r>
      <w:r w:rsidR="009F17C5" w:rsidRPr="38A9F04E">
        <w:rPr>
          <w:lang w:val="fr-FR"/>
        </w:rPr>
        <w:t xml:space="preserve"> fin de l'année </w:t>
      </w:r>
      <w:r w:rsidR="00F936DF" w:rsidRPr="38A9F04E">
        <w:rPr>
          <w:lang w:val="fr-FR"/>
        </w:rPr>
        <w:t xml:space="preserve">pour les </w:t>
      </w:r>
      <w:r w:rsidR="009F17C5" w:rsidRPr="38A9F04E">
        <w:rPr>
          <w:lang w:val="fr-FR"/>
        </w:rPr>
        <w:t xml:space="preserve">graphiques </w:t>
      </w:r>
      <w:r w:rsidR="00F936DF" w:rsidRPr="38A9F04E">
        <w:rPr>
          <w:lang w:val="fr-FR"/>
        </w:rPr>
        <w:t xml:space="preserve">de comparaison de </w:t>
      </w:r>
      <w:proofErr w:type="gramStart"/>
      <w:r w:rsidR="00F936DF" w:rsidRPr="38A9F04E">
        <w:rPr>
          <w:lang w:val="fr-FR"/>
        </w:rPr>
        <w:t>modèles;</w:t>
      </w:r>
      <w:proofErr w:type="gramEnd"/>
    </w:p>
    <w:p w14:paraId="06048E1A" w14:textId="6A78F2E3" w:rsidR="00AA29AF" w:rsidRPr="002B2D66" w:rsidRDefault="009F17C5" w:rsidP="00572C34">
      <w:pPr>
        <w:pStyle w:val="ListParagraph"/>
        <w:numPr>
          <w:ilvl w:val="1"/>
          <w:numId w:val="2"/>
        </w:numPr>
        <w:ind w:left="709"/>
        <w:rPr>
          <w:lang w:val="fr-FR"/>
        </w:rPr>
      </w:pPr>
      <w:r w:rsidRPr="38A9F04E">
        <w:rPr>
          <w:lang w:val="fr-FR"/>
        </w:rPr>
        <w:t xml:space="preserve">Les courbes ajustées à afficher sur les graphiques d'ajustement, de comparaison de modèles et de </w:t>
      </w:r>
      <w:r w:rsidR="00572C34">
        <w:rPr>
          <w:lang w:val="fr-FR"/>
        </w:rPr>
        <w:br/>
      </w:r>
      <w:r w:rsidR="6C0ECDE2" w:rsidRPr="38A9F04E">
        <w:rPr>
          <w:lang w:val="fr-FR"/>
        </w:rPr>
        <w:t>sélection d</w:t>
      </w:r>
      <w:r w:rsidR="00713E88">
        <w:rPr>
          <w:lang w:val="fr-FR"/>
        </w:rPr>
        <w:t>u</w:t>
      </w:r>
      <w:r w:rsidR="6C0ECDE2" w:rsidRPr="38A9F04E">
        <w:rPr>
          <w:lang w:val="fr-FR"/>
        </w:rPr>
        <w:t xml:space="preserve"> modèle</w:t>
      </w:r>
      <w:r w:rsidR="006448B0" w:rsidRPr="38A9F04E">
        <w:rPr>
          <w:lang w:val="fr-FR"/>
        </w:rPr>
        <w:t xml:space="preserve">. </w:t>
      </w:r>
      <w:r w:rsidRPr="00572C34">
        <w:rPr>
          <w:lang w:val="fr-FR"/>
        </w:rPr>
        <w:br/>
      </w:r>
    </w:p>
    <w:p w14:paraId="77CC3DD4" w14:textId="77777777" w:rsidR="00AA29AF" w:rsidRPr="002B2D66" w:rsidRDefault="005D4AC7">
      <w:pPr>
        <w:pStyle w:val="Heading2"/>
        <w:rPr>
          <w:rFonts w:asciiTheme="minorHAnsi" w:hAnsiTheme="minorHAnsi" w:cstheme="minorHAnsi"/>
          <w:sz w:val="18"/>
          <w:szCs w:val="18"/>
        </w:rPr>
      </w:pPr>
      <w:proofErr w:type="spellStart"/>
      <w:r w:rsidRPr="002B2D66">
        <w:rPr>
          <w:rFonts w:asciiTheme="minorHAnsi" w:hAnsiTheme="minorHAnsi" w:cstheme="minorHAnsi"/>
          <w:sz w:val="18"/>
          <w:szCs w:val="18"/>
        </w:rPr>
        <w:t>Résultats</w:t>
      </w:r>
      <w:proofErr w:type="spellEnd"/>
    </w:p>
    <w:p w14:paraId="716CEBAB" w14:textId="3FBFE7A5" w:rsidR="00AA29AF" w:rsidRPr="002B2D66" w:rsidRDefault="00D92313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Stade avancé de l’infection </w:t>
      </w:r>
      <w:r w:rsidR="009F17C5" w:rsidRPr="002B2D66">
        <w:rPr>
          <w:rFonts w:cstheme="minorHAnsi"/>
          <w:b/>
          <w:bCs/>
          <w:lang w:val="fr-FR"/>
        </w:rPr>
        <w:t xml:space="preserve">à VIH </w:t>
      </w:r>
      <w:r w:rsidR="009F17C5" w:rsidRPr="002B2D66">
        <w:rPr>
          <w:rFonts w:cstheme="minorHAnsi"/>
          <w:lang w:val="fr-FR"/>
        </w:rPr>
        <w:t xml:space="preserve">: Spectrum </w:t>
      </w:r>
      <w:r w:rsidR="00B434E6" w:rsidRPr="002B2D66">
        <w:rPr>
          <w:rFonts w:cstheme="minorHAnsi"/>
          <w:lang w:val="fr-FR"/>
        </w:rPr>
        <w:t xml:space="preserve">estime </w:t>
      </w:r>
      <w:r w:rsidR="002B2875" w:rsidRPr="002B2D66">
        <w:rPr>
          <w:rFonts w:cstheme="minorHAnsi"/>
          <w:lang w:val="fr-FR"/>
        </w:rPr>
        <w:t xml:space="preserve">désormais </w:t>
      </w:r>
      <w:r w:rsidR="00B434E6" w:rsidRPr="002B2D66">
        <w:rPr>
          <w:rFonts w:cstheme="minorHAnsi"/>
          <w:lang w:val="fr-FR"/>
        </w:rPr>
        <w:t xml:space="preserve">les </w:t>
      </w:r>
      <w:r w:rsidR="00881220" w:rsidRPr="002B2D66">
        <w:rPr>
          <w:rFonts w:cstheme="minorHAnsi"/>
          <w:lang w:val="fr-FR"/>
        </w:rPr>
        <w:t xml:space="preserve">personnes </w:t>
      </w:r>
      <w:r w:rsidRPr="002B2D66">
        <w:rPr>
          <w:rFonts w:cstheme="minorHAnsi"/>
          <w:lang w:val="fr-FR"/>
        </w:rPr>
        <w:t>avec un stade avancé de l’infection</w:t>
      </w:r>
      <w:r w:rsidR="002B2875" w:rsidRPr="002B2D66">
        <w:rPr>
          <w:rFonts w:cstheme="minorHAnsi"/>
          <w:lang w:val="fr-FR"/>
        </w:rPr>
        <w:t xml:space="preserve"> à VIH</w:t>
      </w:r>
      <w:r w:rsidR="009F17C5" w:rsidRPr="002B2D66">
        <w:rPr>
          <w:rFonts w:cstheme="minorHAnsi"/>
          <w:lang w:val="fr-FR"/>
        </w:rPr>
        <w:t xml:space="preserve"> (SAIV)</w:t>
      </w:r>
      <w:r w:rsidR="00881220" w:rsidRPr="002B2D66">
        <w:rPr>
          <w:rFonts w:cstheme="minorHAnsi"/>
          <w:lang w:val="fr-FR"/>
        </w:rPr>
        <w:t xml:space="preserve">, selon la définition de l'OMS, </w:t>
      </w:r>
      <w:r w:rsidR="00802728" w:rsidRPr="002B2D66">
        <w:rPr>
          <w:rFonts w:cstheme="minorHAnsi"/>
          <w:lang w:val="fr-FR"/>
        </w:rPr>
        <w:t xml:space="preserve">y compris un (nouveau) calcul de la prévalence d'un faible taux de CD4 parmi les PVVIH </w:t>
      </w:r>
      <w:r w:rsidR="009F17C5" w:rsidRPr="002B2D66">
        <w:rPr>
          <w:rFonts w:cstheme="minorHAnsi"/>
          <w:lang w:val="fr-FR"/>
        </w:rPr>
        <w:t>ne recevant pas de traitement antirétroviral</w:t>
      </w:r>
      <w:r w:rsidR="00C42402" w:rsidRPr="002B2D66">
        <w:rPr>
          <w:rFonts w:cstheme="minorHAnsi"/>
          <w:lang w:val="fr-FR"/>
        </w:rPr>
        <w:t xml:space="preserve">. </w:t>
      </w:r>
      <w:r w:rsidR="00B434E6" w:rsidRPr="002B2D66">
        <w:rPr>
          <w:rFonts w:cstheme="minorHAnsi"/>
          <w:lang w:val="fr-FR"/>
        </w:rPr>
        <w:br/>
      </w:r>
    </w:p>
    <w:p w14:paraId="7A99F07C" w14:textId="40266DEC" w:rsidR="00AA29AF" w:rsidRPr="002B2D66" w:rsidRDefault="009F17C5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2B2D66">
        <w:rPr>
          <w:rFonts w:cstheme="minorHAnsi"/>
          <w:b/>
          <w:bCs/>
          <w:lang w:val="fr-FR"/>
        </w:rPr>
        <w:t xml:space="preserve">Cryptococcose méningée </w:t>
      </w:r>
      <w:r w:rsidRPr="002B2D66">
        <w:rPr>
          <w:rFonts w:cstheme="minorHAnsi"/>
          <w:lang w:val="fr-FR"/>
        </w:rPr>
        <w:t xml:space="preserve">(CM) : une cascade montre l'estimation des PVVIH </w:t>
      </w:r>
      <w:r w:rsidR="00D92313" w:rsidRPr="002B2D66">
        <w:rPr>
          <w:rFonts w:cstheme="minorHAnsi"/>
          <w:lang w:val="fr-FR"/>
        </w:rPr>
        <w:t>avec</w:t>
      </w:r>
      <w:r w:rsidRPr="002B2D66">
        <w:rPr>
          <w:rFonts w:cstheme="minorHAnsi"/>
          <w:lang w:val="fr-FR"/>
        </w:rPr>
        <w:t xml:space="preserve"> l'antigène</w:t>
      </w:r>
      <w:r w:rsidR="00D92313" w:rsidRPr="002B2D66">
        <w:rPr>
          <w:rFonts w:cstheme="minorHAnsi"/>
          <w:lang w:val="fr-FR"/>
        </w:rPr>
        <w:t xml:space="preserve"> de l’infection</w:t>
      </w:r>
      <w:r w:rsidRPr="002B2D66">
        <w:rPr>
          <w:rFonts w:cstheme="minorHAnsi"/>
          <w:lang w:val="fr-FR"/>
        </w:rPr>
        <w:t xml:space="preserve"> cryptococcique, les cas cliniques de CM et les décès dus à la CM </w:t>
      </w:r>
      <w:r w:rsidR="0038511A" w:rsidRPr="002B2D66">
        <w:rPr>
          <w:rFonts w:cstheme="minorHAnsi"/>
          <w:lang w:val="fr-FR"/>
        </w:rPr>
        <w:t>(</w:t>
      </w:r>
      <w:r w:rsidRPr="002B2D66">
        <w:rPr>
          <w:rFonts w:cstheme="minorHAnsi"/>
          <w:lang w:val="fr-FR"/>
        </w:rPr>
        <w:t>en tant que sous-ensemble des décès dus au sida).</w:t>
      </w:r>
    </w:p>
    <w:p w14:paraId="7EABBE81" w14:textId="1D53CD6E" w:rsidR="00AA29AF" w:rsidRPr="002B2D66" w:rsidRDefault="009F17C5">
      <w:pPr>
        <w:rPr>
          <w:rFonts w:cstheme="minorHAnsi"/>
          <w:lang w:val="fr-FR"/>
        </w:rPr>
      </w:pPr>
      <w:r w:rsidRPr="002B2D66">
        <w:rPr>
          <w:rFonts w:cstheme="minorHAnsi"/>
          <w:lang w:val="fr-FR"/>
        </w:rPr>
        <w:t>Détails pour SAIV et CM dans l'annexe 4 du guide d'utilisation de Spectrum.</w:t>
      </w:r>
      <w:r w:rsidRPr="002B2D66">
        <w:rPr>
          <w:rFonts w:cstheme="minorHAnsi"/>
          <w:lang w:val="fr-FR"/>
        </w:rPr>
        <w:br/>
      </w:r>
    </w:p>
    <w:p w14:paraId="1DB845A3" w14:textId="77777777" w:rsidR="00AA29AF" w:rsidRPr="002B2D66" w:rsidRDefault="009F17C5">
      <w:pPr>
        <w:pStyle w:val="Heading2"/>
        <w:rPr>
          <w:rFonts w:asciiTheme="minorHAnsi" w:hAnsiTheme="minorHAnsi" w:cstheme="minorHAnsi"/>
          <w:sz w:val="18"/>
          <w:szCs w:val="18"/>
        </w:rPr>
      </w:pPr>
      <w:r w:rsidRPr="002B2D66">
        <w:rPr>
          <w:rFonts w:asciiTheme="minorHAnsi" w:hAnsiTheme="minorHAnsi" w:cstheme="minorHAnsi"/>
          <w:sz w:val="18"/>
          <w:szCs w:val="18"/>
        </w:rPr>
        <w:t>Validation</w:t>
      </w:r>
    </w:p>
    <w:p w14:paraId="415451E9" w14:textId="77777777" w:rsidR="00AA29AF" w:rsidRPr="002B2D66" w:rsidRDefault="009F17C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val="fr-FR" w:eastAsia="en-ZA"/>
        </w:rPr>
      </w:pPr>
      <w:r w:rsidRPr="002B2D66">
        <w:rPr>
          <w:rFonts w:cstheme="minorHAnsi"/>
          <w:lang w:val="fr-FR"/>
        </w:rPr>
        <w:t xml:space="preserve">En 2025, tous les pays devraient donner la priorité et mettre l'accent sur la </w:t>
      </w:r>
      <w:r w:rsidR="000F7703" w:rsidRPr="002B2D66">
        <w:rPr>
          <w:rFonts w:cstheme="minorHAnsi"/>
          <w:lang w:val="fr-FR"/>
        </w:rPr>
        <w:t xml:space="preserve">validation systématique des estimations de couverture et de traitement antirétroviral rapportées par les programmes pour adultes, en </w:t>
      </w:r>
      <w:r w:rsidR="007B626F" w:rsidRPr="002B2D66">
        <w:rPr>
          <w:rFonts w:cstheme="minorHAnsi"/>
          <w:lang w:val="fr-FR"/>
        </w:rPr>
        <w:t xml:space="preserve">les comparant aux </w:t>
      </w:r>
      <w:r w:rsidR="000F7703" w:rsidRPr="002B2D66">
        <w:rPr>
          <w:rFonts w:cstheme="minorHAnsi"/>
          <w:lang w:val="fr-FR"/>
        </w:rPr>
        <w:t xml:space="preserve">enquêtes nationales sur les ménages (PHIA) et aux </w:t>
      </w:r>
      <w:r w:rsidR="007B626F" w:rsidRPr="002B2D66">
        <w:rPr>
          <w:rFonts w:cstheme="minorHAnsi"/>
          <w:lang w:val="fr-FR"/>
        </w:rPr>
        <w:t xml:space="preserve">données de </w:t>
      </w:r>
      <w:r w:rsidR="007435B4" w:rsidRPr="002B2D66">
        <w:rPr>
          <w:rFonts w:cstheme="minorHAnsi"/>
          <w:lang w:val="fr-FR"/>
        </w:rPr>
        <w:t xml:space="preserve">routine </w:t>
      </w:r>
      <w:r w:rsidR="007B626F" w:rsidRPr="002B2D66">
        <w:rPr>
          <w:rFonts w:cstheme="minorHAnsi"/>
          <w:lang w:val="fr-FR"/>
        </w:rPr>
        <w:t xml:space="preserve">sur </w:t>
      </w:r>
      <w:r w:rsidR="007435B4" w:rsidRPr="002B2D66">
        <w:rPr>
          <w:rFonts w:cstheme="minorHAnsi"/>
          <w:lang w:val="fr-FR"/>
        </w:rPr>
        <w:t xml:space="preserve">les tests de dépistage dans </w:t>
      </w:r>
      <w:r w:rsidR="000F7703" w:rsidRPr="002B2D66">
        <w:rPr>
          <w:rFonts w:cstheme="minorHAnsi"/>
          <w:lang w:val="fr-FR"/>
        </w:rPr>
        <w:t xml:space="preserve">les centres de soins prénatals </w:t>
      </w:r>
      <w:r w:rsidR="007435B4" w:rsidRPr="002B2D66">
        <w:rPr>
          <w:rFonts w:cstheme="minorHAnsi"/>
          <w:lang w:val="fr-FR"/>
        </w:rPr>
        <w:t xml:space="preserve">et la </w:t>
      </w:r>
      <w:r w:rsidR="000F7703" w:rsidRPr="002B2D66">
        <w:rPr>
          <w:rFonts w:cstheme="minorHAnsi"/>
          <w:lang w:val="fr-FR"/>
        </w:rPr>
        <w:t>PTME</w:t>
      </w:r>
      <w:r w:rsidR="007B626F" w:rsidRPr="002B2D66">
        <w:rPr>
          <w:rFonts w:cstheme="minorHAnsi"/>
          <w:lang w:val="fr-FR"/>
        </w:rPr>
        <w:t xml:space="preserve">, </w:t>
      </w:r>
      <w:r w:rsidR="000F7703" w:rsidRPr="002B2D66">
        <w:rPr>
          <w:rFonts w:cstheme="minorHAnsi"/>
          <w:lang w:val="fr-FR"/>
        </w:rPr>
        <w:t>le</w:t>
      </w:r>
      <w:r w:rsidR="007B626F" w:rsidRPr="002B2D66">
        <w:rPr>
          <w:rFonts w:cstheme="minorHAnsi"/>
          <w:lang w:val="fr-FR"/>
        </w:rPr>
        <w:t xml:space="preserve"> cas échéant. </w:t>
      </w:r>
      <w:r w:rsidR="00E92C66" w:rsidRPr="002B2D66">
        <w:rPr>
          <w:rFonts w:cstheme="minorHAnsi"/>
          <w:lang w:val="fr-FR"/>
        </w:rPr>
        <w:br/>
      </w:r>
    </w:p>
    <w:p w14:paraId="5AD72D5C" w14:textId="2E033403" w:rsidR="00AA29AF" w:rsidRPr="002B2D66" w:rsidRDefault="009F17C5" w:rsidP="1A07432C">
      <w:pPr>
        <w:pStyle w:val="ListParagraph"/>
        <w:ind w:left="360"/>
        <w:rPr>
          <w:lang w:val="fr-FR"/>
        </w:rPr>
      </w:pPr>
      <w:r w:rsidRPr="38A9F04E">
        <w:rPr>
          <w:lang w:val="fr-FR"/>
        </w:rPr>
        <w:t xml:space="preserve">Pour cela, le menu de validation de Spectrum a été réorganisé, les 4 premiers items </w:t>
      </w:r>
      <w:r w:rsidR="00071198" w:rsidRPr="38A9F04E">
        <w:rPr>
          <w:lang w:val="fr-FR"/>
        </w:rPr>
        <w:t>se concentrant sur le TAR</w:t>
      </w:r>
      <w:r w:rsidR="0042274F" w:rsidRPr="38A9F04E">
        <w:rPr>
          <w:lang w:val="fr-FR"/>
        </w:rPr>
        <w:t xml:space="preserve">, comparant les </w:t>
      </w:r>
      <w:r w:rsidR="00071198" w:rsidRPr="38A9F04E">
        <w:rPr>
          <w:lang w:val="fr-FR"/>
        </w:rPr>
        <w:t xml:space="preserve">chiffres rapportés par le programme (par sexe et âge </w:t>
      </w:r>
      <w:r w:rsidR="0089622D" w:rsidRPr="38A9F04E">
        <w:rPr>
          <w:lang w:val="fr-FR"/>
        </w:rPr>
        <w:t xml:space="preserve">; </w:t>
      </w:r>
      <w:r w:rsidR="00071198" w:rsidRPr="38A9F04E">
        <w:rPr>
          <w:lang w:val="fr-FR"/>
        </w:rPr>
        <w:t xml:space="preserve">actuellement sous TAR et nouvelles initiations) </w:t>
      </w:r>
      <w:r w:rsidR="0042274F" w:rsidRPr="38A9F04E">
        <w:rPr>
          <w:lang w:val="fr-FR"/>
        </w:rPr>
        <w:t>et la couverture estimée par Spectrum</w:t>
      </w:r>
      <w:r w:rsidR="00071198" w:rsidRPr="38A9F04E">
        <w:rPr>
          <w:lang w:val="fr-FR"/>
        </w:rPr>
        <w:t xml:space="preserve">, avec les </w:t>
      </w:r>
      <w:r w:rsidR="0089622D" w:rsidRPr="38A9F04E">
        <w:rPr>
          <w:lang w:val="fr-FR"/>
        </w:rPr>
        <w:t xml:space="preserve">données de </w:t>
      </w:r>
      <w:r w:rsidR="00071198" w:rsidRPr="38A9F04E">
        <w:rPr>
          <w:lang w:val="fr-FR"/>
        </w:rPr>
        <w:t xml:space="preserve">TAR </w:t>
      </w:r>
      <w:r w:rsidR="0089622D" w:rsidRPr="38A9F04E">
        <w:rPr>
          <w:lang w:val="fr-FR"/>
        </w:rPr>
        <w:t>et de CPN/PTME de</w:t>
      </w:r>
      <w:r w:rsidR="00071198" w:rsidRPr="38A9F04E">
        <w:rPr>
          <w:lang w:val="fr-FR"/>
        </w:rPr>
        <w:t xml:space="preserve"> l'enquête auprès des ménages</w:t>
      </w:r>
      <w:r w:rsidR="007435B4" w:rsidRPr="38A9F04E">
        <w:rPr>
          <w:lang w:val="fr-FR"/>
        </w:rPr>
        <w:t xml:space="preserve">.  </w:t>
      </w:r>
      <w:r w:rsidR="0089622D" w:rsidRPr="38A9F04E">
        <w:rPr>
          <w:lang w:val="fr-FR"/>
        </w:rPr>
        <w:t xml:space="preserve">Voir le document </w:t>
      </w:r>
      <w:r w:rsidRPr="38A9F04E">
        <w:rPr>
          <w:lang w:val="fr-FR"/>
        </w:rPr>
        <w:t>« </w:t>
      </w:r>
      <w:r w:rsidR="00FE6FE8" w:rsidRPr="38A9F04E">
        <w:rPr>
          <w:i/>
          <w:iCs/>
          <w:lang w:val="fr-FR"/>
        </w:rPr>
        <w:t xml:space="preserve">Etapes </w:t>
      </w:r>
      <w:r w:rsidR="002B2D66" w:rsidRPr="38A9F04E">
        <w:rPr>
          <w:i/>
          <w:iCs/>
          <w:lang w:val="fr-FR"/>
        </w:rPr>
        <w:t xml:space="preserve">de </w:t>
      </w:r>
      <w:r w:rsidR="00FE6FE8" w:rsidRPr="38A9F04E">
        <w:rPr>
          <w:i/>
          <w:iCs/>
          <w:lang w:val="fr-FR"/>
        </w:rPr>
        <w:t>ba</w:t>
      </w:r>
      <w:r w:rsidR="002B2D66" w:rsidRPr="38A9F04E">
        <w:rPr>
          <w:i/>
          <w:iCs/>
          <w:lang w:val="fr-FR"/>
        </w:rPr>
        <w:t>se / B</w:t>
      </w:r>
      <w:r w:rsidR="0089622D" w:rsidRPr="38A9F04E">
        <w:rPr>
          <w:i/>
          <w:iCs/>
          <w:lang w:val="fr-FR"/>
        </w:rPr>
        <w:t xml:space="preserve">asic </w:t>
      </w:r>
      <w:proofErr w:type="spellStart"/>
      <w:r w:rsidR="0089622D" w:rsidRPr="38A9F04E">
        <w:rPr>
          <w:i/>
          <w:iCs/>
          <w:lang w:val="fr-FR"/>
        </w:rPr>
        <w:t>Steps</w:t>
      </w:r>
      <w:proofErr w:type="spellEnd"/>
      <w:r w:rsidRPr="38A9F04E">
        <w:rPr>
          <w:lang w:val="fr-FR"/>
        </w:rPr>
        <w:t> »</w:t>
      </w:r>
      <w:r w:rsidR="0089622D" w:rsidRPr="38A9F04E">
        <w:rPr>
          <w:lang w:val="fr-FR"/>
        </w:rPr>
        <w:t xml:space="preserve"> pour plus de détails.</w:t>
      </w:r>
    </w:p>
    <w:p w14:paraId="0BF41AD6" w14:textId="77777777" w:rsidR="00312363" w:rsidRPr="002B2D66" w:rsidRDefault="00312363" w:rsidP="00E92C66">
      <w:pPr>
        <w:pStyle w:val="ListParagraph"/>
        <w:ind w:left="360"/>
        <w:rPr>
          <w:rFonts w:cstheme="minorHAnsi"/>
          <w:lang w:val="fr-FR"/>
        </w:rPr>
      </w:pPr>
    </w:p>
    <w:p w14:paraId="2EB63340" w14:textId="2666FDF5" w:rsidR="00AA29AF" w:rsidRPr="00AF0DC5" w:rsidRDefault="009F17C5">
      <w:pPr>
        <w:pStyle w:val="ListParagraph"/>
        <w:ind w:left="360"/>
        <w:rPr>
          <w:rFonts w:cstheme="minorHAnsi"/>
          <w:color w:val="000000" w:themeColor="text1"/>
          <w:lang w:val="fr-FR" w:eastAsia="en-ZA"/>
        </w:rPr>
      </w:pPr>
      <w:r w:rsidRPr="002B2D66">
        <w:rPr>
          <w:rFonts w:cstheme="minorHAnsi"/>
          <w:lang w:val="fr-FR"/>
        </w:rPr>
        <w:t xml:space="preserve">Pour les validations par rapport aux enquêtes sur les </w:t>
      </w:r>
      <w:r w:rsidR="00AE086B" w:rsidRPr="002B2D66">
        <w:rPr>
          <w:rFonts w:cstheme="minorHAnsi"/>
          <w:lang w:val="fr-FR"/>
        </w:rPr>
        <w:t>ménages</w:t>
      </w:r>
      <w:r w:rsidRPr="002B2D66">
        <w:rPr>
          <w:rFonts w:cstheme="minorHAnsi"/>
          <w:lang w:val="fr-FR"/>
        </w:rPr>
        <w:t xml:space="preserve">, Spectrum </w:t>
      </w:r>
      <w:r w:rsidR="0089622D" w:rsidRPr="002B2D66">
        <w:rPr>
          <w:rFonts w:cstheme="minorHAnsi"/>
          <w:lang w:val="fr-FR"/>
        </w:rPr>
        <w:t xml:space="preserve">calcule la </w:t>
      </w:r>
      <w:r w:rsidRPr="002B2D66">
        <w:rPr>
          <w:rFonts w:cstheme="minorHAnsi"/>
          <w:lang w:val="fr-FR"/>
        </w:rPr>
        <w:t>couverture basée sur l'enquête en multipliant la proportion de personnes sous traitement antirétroviral de l'enquête, par l’estimation Spectrum du nombre de personnes vivant avec le VIH</w:t>
      </w:r>
      <w:r w:rsidR="0089622D" w:rsidRPr="002B2D66">
        <w:rPr>
          <w:rFonts w:cstheme="minorHAnsi"/>
          <w:lang w:val="fr-FR"/>
        </w:rPr>
        <w:t>.</w:t>
      </w:r>
    </w:p>
    <w:sectPr w:rsidR="00AA29AF" w:rsidRPr="00AF0D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F340" w14:textId="77777777" w:rsidR="00F176ED" w:rsidRDefault="00F176ED" w:rsidP="00366C1E">
      <w:pPr>
        <w:spacing w:after="0" w:line="240" w:lineRule="auto"/>
      </w:pPr>
      <w:r>
        <w:separator/>
      </w:r>
    </w:p>
  </w:endnote>
  <w:endnote w:type="continuationSeparator" w:id="0">
    <w:p w14:paraId="06AC7A68" w14:textId="77777777" w:rsidR="00F176ED" w:rsidRDefault="00F176ED" w:rsidP="00366C1E">
      <w:pPr>
        <w:spacing w:after="0" w:line="240" w:lineRule="auto"/>
      </w:pPr>
      <w:r>
        <w:continuationSeparator/>
      </w:r>
    </w:p>
  </w:endnote>
  <w:endnote w:type="continuationNotice" w:id="1">
    <w:p w14:paraId="410740C5" w14:textId="77777777" w:rsidR="00F176ED" w:rsidRDefault="00F17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901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B8611" w14:textId="77777777" w:rsidR="00AA29AF" w:rsidRDefault="009F1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34191" w14:textId="77777777" w:rsidR="00366C1E" w:rsidRDefault="0036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DC9D" w14:textId="77777777" w:rsidR="00F176ED" w:rsidRDefault="00F176ED" w:rsidP="00366C1E">
      <w:pPr>
        <w:spacing w:after="0" w:line="240" w:lineRule="auto"/>
      </w:pPr>
      <w:r>
        <w:separator/>
      </w:r>
    </w:p>
  </w:footnote>
  <w:footnote w:type="continuationSeparator" w:id="0">
    <w:p w14:paraId="6AC80B76" w14:textId="77777777" w:rsidR="00F176ED" w:rsidRDefault="00F176ED" w:rsidP="00366C1E">
      <w:pPr>
        <w:spacing w:after="0" w:line="240" w:lineRule="auto"/>
      </w:pPr>
      <w:r>
        <w:continuationSeparator/>
      </w:r>
    </w:p>
  </w:footnote>
  <w:footnote w:type="continuationNotice" w:id="1">
    <w:p w14:paraId="3B59A896" w14:textId="77777777" w:rsidR="00F176ED" w:rsidRDefault="00F176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43DA"/>
    <w:multiLevelType w:val="hybridMultilevel"/>
    <w:tmpl w:val="1C1EF176"/>
    <w:lvl w:ilvl="0" w:tplc="C9BC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E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8C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C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C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B75"/>
    <w:multiLevelType w:val="hybridMultilevel"/>
    <w:tmpl w:val="28440E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70351"/>
    <w:multiLevelType w:val="hybridMultilevel"/>
    <w:tmpl w:val="C3D8C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0444"/>
    <w:multiLevelType w:val="hybridMultilevel"/>
    <w:tmpl w:val="9B3CE272"/>
    <w:lvl w:ilvl="0" w:tplc="B49C5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140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D21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E29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44A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00E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681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6D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367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BAB5574"/>
    <w:multiLevelType w:val="hybridMultilevel"/>
    <w:tmpl w:val="C0785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40AEE"/>
    <w:multiLevelType w:val="hybridMultilevel"/>
    <w:tmpl w:val="E646D00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7F47"/>
    <w:multiLevelType w:val="hybridMultilevel"/>
    <w:tmpl w:val="3E42DA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E0AC0"/>
    <w:multiLevelType w:val="hybridMultilevel"/>
    <w:tmpl w:val="2166CCDA"/>
    <w:lvl w:ilvl="0" w:tplc="3D10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6E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E64F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EC6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06C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EEA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865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0F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6CE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C2C3BDB"/>
    <w:multiLevelType w:val="hybridMultilevel"/>
    <w:tmpl w:val="470C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74D6"/>
    <w:multiLevelType w:val="hybridMultilevel"/>
    <w:tmpl w:val="23C0FBCA"/>
    <w:lvl w:ilvl="0" w:tplc="03D08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622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92A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2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A63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B66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9C1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403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AC9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8710CFF"/>
    <w:multiLevelType w:val="hybridMultilevel"/>
    <w:tmpl w:val="A0A0CADC"/>
    <w:lvl w:ilvl="0" w:tplc="E6D41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F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323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906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DED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FAD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B6A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A2F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C9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BF01A41"/>
    <w:multiLevelType w:val="hybridMultilevel"/>
    <w:tmpl w:val="85BE71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853E8E"/>
    <w:multiLevelType w:val="hybridMultilevel"/>
    <w:tmpl w:val="19D0BC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ADD"/>
    <w:multiLevelType w:val="hybridMultilevel"/>
    <w:tmpl w:val="1E26E97A"/>
    <w:lvl w:ilvl="0" w:tplc="78B05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80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80E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B00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008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2A1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6A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D06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60C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5263542">
    <w:abstractNumId w:val="8"/>
  </w:num>
  <w:num w:numId="2" w16cid:durableId="1561358925">
    <w:abstractNumId w:val="1"/>
  </w:num>
  <w:num w:numId="3" w16cid:durableId="1632976660">
    <w:abstractNumId w:val="3"/>
  </w:num>
  <w:num w:numId="4" w16cid:durableId="1162503646">
    <w:abstractNumId w:val="10"/>
  </w:num>
  <w:num w:numId="5" w16cid:durableId="2066946782">
    <w:abstractNumId w:val="4"/>
  </w:num>
  <w:num w:numId="6" w16cid:durableId="1753889320">
    <w:abstractNumId w:val="11"/>
  </w:num>
  <w:num w:numId="7" w16cid:durableId="409155191">
    <w:abstractNumId w:val="13"/>
  </w:num>
  <w:num w:numId="8" w16cid:durableId="1036925117">
    <w:abstractNumId w:val="9"/>
  </w:num>
  <w:num w:numId="9" w16cid:durableId="893544980">
    <w:abstractNumId w:val="5"/>
  </w:num>
  <w:num w:numId="10" w16cid:durableId="1874725657">
    <w:abstractNumId w:val="12"/>
  </w:num>
  <w:num w:numId="11" w16cid:durableId="2021001249">
    <w:abstractNumId w:val="2"/>
  </w:num>
  <w:num w:numId="12" w16cid:durableId="868690324">
    <w:abstractNumId w:val="6"/>
  </w:num>
  <w:num w:numId="13" w16cid:durableId="1939755164">
    <w:abstractNumId w:val="0"/>
  </w:num>
  <w:num w:numId="14" w16cid:durableId="168389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4"/>
    <w:rsid w:val="000016D5"/>
    <w:rsid w:val="00007376"/>
    <w:rsid w:val="000109C7"/>
    <w:rsid w:val="00030DB0"/>
    <w:rsid w:val="000311A2"/>
    <w:rsid w:val="00037BC9"/>
    <w:rsid w:val="0004444C"/>
    <w:rsid w:val="00045E98"/>
    <w:rsid w:val="00047B2D"/>
    <w:rsid w:val="000647BA"/>
    <w:rsid w:val="00064800"/>
    <w:rsid w:val="0007006E"/>
    <w:rsid w:val="00071198"/>
    <w:rsid w:val="0008065B"/>
    <w:rsid w:val="00092244"/>
    <w:rsid w:val="00092368"/>
    <w:rsid w:val="00094D6B"/>
    <w:rsid w:val="000A6A56"/>
    <w:rsid w:val="000D746E"/>
    <w:rsid w:val="000E45D3"/>
    <w:rsid w:val="000F4432"/>
    <w:rsid w:val="000F7703"/>
    <w:rsid w:val="001007D1"/>
    <w:rsid w:val="00100EE3"/>
    <w:rsid w:val="001077A7"/>
    <w:rsid w:val="00112624"/>
    <w:rsid w:val="00116B8F"/>
    <w:rsid w:val="001206A6"/>
    <w:rsid w:val="001378B6"/>
    <w:rsid w:val="00147866"/>
    <w:rsid w:val="0015164D"/>
    <w:rsid w:val="00155055"/>
    <w:rsid w:val="00157FE3"/>
    <w:rsid w:val="00160E05"/>
    <w:rsid w:val="001633AE"/>
    <w:rsid w:val="00192661"/>
    <w:rsid w:val="001926ED"/>
    <w:rsid w:val="00196F4E"/>
    <w:rsid w:val="00197A1B"/>
    <w:rsid w:val="001A48AA"/>
    <w:rsid w:val="001B13D5"/>
    <w:rsid w:val="001B22AB"/>
    <w:rsid w:val="001B39A2"/>
    <w:rsid w:val="001B66CC"/>
    <w:rsid w:val="001C3234"/>
    <w:rsid w:val="001C445C"/>
    <w:rsid w:val="001D2419"/>
    <w:rsid w:val="001D2FB7"/>
    <w:rsid w:val="001D5B85"/>
    <w:rsid w:val="001D78C6"/>
    <w:rsid w:val="001F29D0"/>
    <w:rsid w:val="001F4ACB"/>
    <w:rsid w:val="001F77BE"/>
    <w:rsid w:val="001F7A8E"/>
    <w:rsid w:val="0021229B"/>
    <w:rsid w:val="002205E6"/>
    <w:rsid w:val="002220CB"/>
    <w:rsid w:val="00223456"/>
    <w:rsid w:val="002311B6"/>
    <w:rsid w:val="00232F10"/>
    <w:rsid w:val="00234688"/>
    <w:rsid w:val="00235844"/>
    <w:rsid w:val="00241DF7"/>
    <w:rsid w:val="00241F45"/>
    <w:rsid w:val="0024607F"/>
    <w:rsid w:val="0024610D"/>
    <w:rsid w:val="0025301E"/>
    <w:rsid w:val="00253DF7"/>
    <w:rsid w:val="002555CF"/>
    <w:rsid w:val="002556E8"/>
    <w:rsid w:val="00267084"/>
    <w:rsid w:val="00271CBE"/>
    <w:rsid w:val="00273667"/>
    <w:rsid w:val="00280BD8"/>
    <w:rsid w:val="00282AE5"/>
    <w:rsid w:val="00283553"/>
    <w:rsid w:val="00285A31"/>
    <w:rsid w:val="00295CC0"/>
    <w:rsid w:val="002A2755"/>
    <w:rsid w:val="002B0C8C"/>
    <w:rsid w:val="002B2875"/>
    <w:rsid w:val="002B2D66"/>
    <w:rsid w:val="002C2556"/>
    <w:rsid w:val="002C51B5"/>
    <w:rsid w:val="002D0BBC"/>
    <w:rsid w:val="002D2699"/>
    <w:rsid w:val="002D2998"/>
    <w:rsid w:val="002D6D92"/>
    <w:rsid w:val="002D74ED"/>
    <w:rsid w:val="002E57E9"/>
    <w:rsid w:val="002E66F3"/>
    <w:rsid w:val="002F2901"/>
    <w:rsid w:val="002F30F9"/>
    <w:rsid w:val="0030057A"/>
    <w:rsid w:val="00303A0E"/>
    <w:rsid w:val="003063C9"/>
    <w:rsid w:val="00312363"/>
    <w:rsid w:val="00320EFF"/>
    <w:rsid w:val="00324AC7"/>
    <w:rsid w:val="00325D73"/>
    <w:rsid w:val="00327E99"/>
    <w:rsid w:val="00333CA0"/>
    <w:rsid w:val="00361A89"/>
    <w:rsid w:val="00366C1E"/>
    <w:rsid w:val="0037029B"/>
    <w:rsid w:val="00372318"/>
    <w:rsid w:val="00373608"/>
    <w:rsid w:val="00374123"/>
    <w:rsid w:val="00381089"/>
    <w:rsid w:val="00384608"/>
    <w:rsid w:val="0038511A"/>
    <w:rsid w:val="00387759"/>
    <w:rsid w:val="00395EB1"/>
    <w:rsid w:val="0039677A"/>
    <w:rsid w:val="003B6F60"/>
    <w:rsid w:val="003C432C"/>
    <w:rsid w:val="003D393A"/>
    <w:rsid w:val="003E7EAD"/>
    <w:rsid w:val="004018A3"/>
    <w:rsid w:val="00412DE0"/>
    <w:rsid w:val="00415273"/>
    <w:rsid w:val="00415683"/>
    <w:rsid w:val="00415E67"/>
    <w:rsid w:val="00420D8E"/>
    <w:rsid w:val="0042274F"/>
    <w:rsid w:val="00423707"/>
    <w:rsid w:val="00427BDA"/>
    <w:rsid w:val="0043273C"/>
    <w:rsid w:val="00451256"/>
    <w:rsid w:val="00456F64"/>
    <w:rsid w:val="00462343"/>
    <w:rsid w:val="00463ED7"/>
    <w:rsid w:val="00465C44"/>
    <w:rsid w:val="0046747A"/>
    <w:rsid w:val="00475030"/>
    <w:rsid w:val="00476243"/>
    <w:rsid w:val="00483E0F"/>
    <w:rsid w:val="00484623"/>
    <w:rsid w:val="004943F9"/>
    <w:rsid w:val="004B146A"/>
    <w:rsid w:val="004B1CE2"/>
    <w:rsid w:val="004B3105"/>
    <w:rsid w:val="004C09AD"/>
    <w:rsid w:val="004D1491"/>
    <w:rsid w:val="004E025F"/>
    <w:rsid w:val="004E25EB"/>
    <w:rsid w:val="004E364F"/>
    <w:rsid w:val="004E7F39"/>
    <w:rsid w:val="0050210D"/>
    <w:rsid w:val="005126E0"/>
    <w:rsid w:val="00521F25"/>
    <w:rsid w:val="005270A8"/>
    <w:rsid w:val="0053158B"/>
    <w:rsid w:val="0053291A"/>
    <w:rsid w:val="00545ADD"/>
    <w:rsid w:val="00547B39"/>
    <w:rsid w:val="00554849"/>
    <w:rsid w:val="0055565F"/>
    <w:rsid w:val="005567A8"/>
    <w:rsid w:val="00561CF2"/>
    <w:rsid w:val="00562166"/>
    <w:rsid w:val="00567148"/>
    <w:rsid w:val="00572995"/>
    <w:rsid w:val="00572C34"/>
    <w:rsid w:val="00584C9C"/>
    <w:rsid w:val="00584D51"/>
    <w:rsid w:val="00585BD1"/>
    <w:rsid w:val="005865FB"/>
    <w:rsid w:val="005975AB"/>
    <w:rsid w:val="005A1453"/>
    <w:rsid w:val="005B4C19"/>
    <w:rsid w:val="005B74C5"/>
    <w:rsid w:val="005D0A3D"/>
    <w:rsid w:val="005D4AC7"/>
    <w:rsid w:val="005D5A7B"/>
    <w:rsid w:val="005D6BB3"/>
    <w:rsid w:val="005E1F08"/>
    <w:rsid w:val="005E3B30"/>
    <w:rsid w:val="005F107F"/>
    <w:rsid w:val="005F2C2A"/>
    <w:rsid w:val="005F36BD"/>
    <w:rsid w:val="00604858"/>
    <w:rsid w:val="0061209B"/>
    <w:rsid w:val="006154C7"/>
    <w:rsid w:val="0061587A"/>
    <w:rsid w:val="006240D0"/>
    <w:rsid w:val="00627331"/>
    <w:rsid w:val="006359BB"/>
    <w:rsid w:val="00641A1B"/>
    <w:rsid w:val="00642C53"/>
    <w:rsid w:val="006448B0"/>
    <w:rsid w:val="00647D8E"/>
    <w:rsid w:val="00656E11"/>
    <w:rsid w:val="0066206E"/>
    <w:rsid w:val="006651DB"/>
    <w:rsid w:val="00676B25"/>
    <w:rsid w:val="006834A2"/>
    <w:rsid w:val="006900AA"/>
    <w:rsid w:val="00690AAD"/>
    <w:rsid w:val="006A35B3"/>
    <w:rsid w:val="006A6408"/>
    <w:rsid w:val="006B1066"/>
    <w:rsid w:val="006B1607"/>
    <w:rsid w:val="006B20CC"/>
    <w:rsid w:val="006B6194"/>
    <w:rsid w:val="006C431A"/>
    <w:rsid w:val="006C4D9C"/>
    <w:rsid w:val="006C66F1"/>
    <w:rsid w:val="006C6A66"/>
    <w:rsid w:val="006D2BB3"/>
    <w:rsid w:val="006D4632"/>
    <w:rsid w:val="006E2092"/>
    <w:rsid w:val="006F125F"/>
    <w:rsid w:val="006F15EB"/>
    <w:rsid w:val="006F44A4"/>
    <w:rsid w:val="006F48FC"/>
    <w:rsid w:val="006F5967"/>
    <w:rsid w:val="006F7301"/>
    <w:rsid w:val="00703A1B"/>
    <w:rsid w:val="00713E88"/>
    <w:rsid w:val="00716A8B"/>
    <w:rsid w:val="00716FE4"/>
    <w:rsid w:val="007368D2"/>
    <w:rsid w:val="00740BA0"/>
    <w:rsid w:val="007435B4"/>
    <w:rsid w:val="0074481D"/>
    <w:rsid w:val="00763658"/>
    <w:rsid w:val="007638BE"/>
    <w:rsid w:val="0076758C"/>
    <w:rsid w:val="007715AC"/>
    <w:rsid w:val="0077377B"/>
    <w:rsid w:val="00775BD6"/>
    <w:rsid w:val="00780214"/>
    <w:rsid w:val="00787899"/>
    <w:rsid w:val="00792234"/>
    <w:rsid w:val="00794382"/>
    <w:rsid w:val="0079481C"/>
    <w:rsid w:val="007A2536"/>
    <w:rsid w:val="007B48EC"/>
    <w:rsid w:val="007B626F"/>
    <w:rsid w:val="007B6884"/>
    <w:rsid w:val="007C26CB"/>
    <w:rsid w:val="007C6730"/>
    <w:rsid w:val="007C70D7"/>
    <w:rsid w:val="007C751D"/>
    <w:rsid w:val="007E79E7"/>
    <w:rsid w:val="007E7CE9"/>
    <w:rsid w:val="007F1806"/>
    <w:rsid w:val="007F297B"/>
    <w:rsid w:val="00802728"/>
    <w:rsid w:val="008044CA"/>
    <w:rsid w:val="008057E2"/>
    <w:rsid w:val="00810DB6"/>
    <w:rsid w:val="008308B4"/>
    <w:rsid w:val="00835E3A"/>
    <w:rsid w:val="00841099"/>
    <w:rsid w:val="00842611"/>
    <w:rsid w:val="00856335"/>
    <w:rsid w:val="00857402"/>
    <w:rsid w:val="00864AE9"/>
    <w:rsid w:val="00865EB3"/>
    <w:rsid w:val="00881220"/>
    <w:rsid w:val="00883BF1"/>
    <w:rsid w:val="00885377"/>
    <w:rsid w:val="008901DA"/>
    <w:rsid w:val="00892ED6"/>
    <w:rsid w:val="00895809"/>
    <w:rsid w:val="0089622D"/>
    <w:rsid w:val="008A176F"/>
    <w:rsid w:val="008A6CBF"/>
    <w:rsid w:val="008B1E67"/>
    <w:rsid w:val="008B2AF6"/>
    <w:rsid w:val="008B3D3E"/>
    <w:rsid w:val="008B476F"/>
    <w:rsid w:val="008B4BDE"/>
    <w:rsid w:val="008B7CFB"/>
    <w:rsid w:val="008C2C2C"/>
    <w:rsid w:val="008D275B"/>
    <w:rsid w:val="008D4F33"/>
    <w:rsid w:val="008E0018"/>
    <w:rsid w:val="008E4248"/>
    <w:rsid w:val="008F238C"/>
    <w:rsid w:val="008F36FD"/>
    <w:rsid w:val="00900040"/>
    <w:rsid w:val="00902006"/>
    <w:rsid w:val="009074EB"/>
    <w:rsid w:val="00911DDE"/>
    <w:rsid w:val="00912355"/>
    <w:rsid w:val="009126C5"/>
    <w:rsid w:val="0091660E"/>
    <w:rsid w:val="00921F16"/>
    <w:rsid w:val="00932C6E"/>
    <w:rsid w:val="00934765"/>
    <w:rsid w:val="00935112"/>
    <w:rsid w:val="009354F7"/>
    <w:rsid w:val="00950DF5"/>
    <w:rsid w:val="0095181A"/>
    <w:rsid w:val="00951875"/>
    <w:rsid w:val="0096342D"/>
    <w:rsid w:val="009670FB"/>
    <w:rsid w:val="009713D5"/>
    <w:rsid w:val="00976300"/>
    <w:rsid w:val="009815C7"/>
    <w:rsid w:val="00984663"/>
    <w:rsid w:val="00993F10"/>
    <w:rsid w:val="00994859"/>
    <w:rsid w:val="009B3A06"/>
    <w:rsid w:val="009B601D"/>
    <w:rsid w:val="009C466B"/>
    <w:rsid w:val="009D439C"/>
    <w:rsid w:val="009D76E9"/>
    <w:rsid w:val="009E19B4"/>
    <w:rsid w:val="009E3988"/>
    <w:rsid w:val="009F17C5"/>
    <w:rsid w:val="00A06CF6"/>
    <w:rsid w:val="00A119A8"/>
    <w:rsid w:val="00A22765"/>
    <w:rsid w:val="00A24F46"/>
    <w:rsid w:val="00A27B33"/>
    <w:rsid w:val="00A27FEA"/>
    <w:rsid w:val="00A300F3"/>
    <w:rsid w:val="00A34ECC"/>
    <w:rsid w:val="00A36099"/>
    <w:rsid w:val="00A752C0"/>
    <w:rsid w:val="00A77FF0"/>
    <w:rsid w:val="00A83DFE"/>
    <w:rsid w:val="00A864E5"/>
    <w:rsid w:val="00A94D37"/>
    <w:rsid w:val="00AA29AF"/>
    <w:rsid w:val="00AB1C1E"/>
    <w:rsid w:val="00AB68EC"/>
    <w:rsid w:val="00AB7C01"/>
    <w:rsid w:val="00AC192F"/>
    <w:rsid w:val="00AC5226"/>
    <w:rsid w:val="00AD3210"/>
    <w:rsid w:val="00AD4232"/>
    <w:rsid w:val="00AD70CB"/>
    <w:rsid w:val="00AD7655"/>
    <w:rsid w:val="00AE086B"/>
    <w:rsid w:val="00AF03C0"/>
    <w:rsid w:val="00AF0DC5"/>
    <w:rsid w:val="00B07BDE"/>
    <w:rsid w:val="00B1239B"/>
    <w:rsid w:val="00B127AA"/>
    <w:rsid w:val="00B132DE"/>
    <w:rsid w:val="00B217AB"/>
    <w:rsid w:val="00B229E3"/>
    <w:rsid w:val="00B22AEB"/>
    <w:rsid w:val="00B268D1"/>
    <w:rsid w:val="00B34E74"/>
    <w:rsid w:val="00B3555A"/>
    <w:rsid w:val="00B36308"/>
    <w:rsid w:val="00B3677B"/>
    <w:rsid w:val="00B434E6"/>
    <w:rsid w:val="00B43826"/>
    <w:rsid w:val="00B50C7E"/>
    <w:rsid w:val="00B537EE"/>
    <w:rsid w:val="00B640E9"/>
    <w:rsid w:val="00B65688"/>
    <w:rsid w:val="00B72DFA"/>
    <w:rsid w:val="00B73AC5"/>
    <w:rsid w:val="00B74F94"/>
    <w:rsid w:val="00B81547"/>
    <w:rsid w:val="00B84410"/>
    <w:rsid w:val="00B86551"/>
    <w:rsid w:val="00BA37BF"/>
    <w:rsid w:val="00BA6B26"/>
    <w:rsid w:val="00BB16B3"/>
    <w:rsid w:val="00BB443F"/>
    <w:rsid w:val="00BB4780"/>
    <w:rsid w:val="00BB6297"/>
    <w:rsid w:val="00BB72C2"/>
    <w:rsid w:val="00BC006F"/>
    <w:rsid w:val="00BC2A45"/>
    <w:rsid w:val="00BC4FBB"/>
    <w:rsid w:val="00BC5334"/>
    <w:rsid w:val="00BD11A1"/>
    <w:rsid w:val="00BD231A"/>
    <w:rsid w:val="00BD4E42"/>
    <w:rsid w:val="00BE2EEF"/>
    <w:rsid w:val="00BE4224"/>
    <w:rsid w:val="00BE54A8"/>
    <w:rsid w:val="00BF1EB1"/>
    <w:rsid w:val="00BF4F61"/>
    <w:rsid w:val="00BF75EE"/>
    <w:rsid w:val="00C03BA7"/>
    <w:rsid w:val="00C11C7E"/>
    <w:rsid w:val="00C13B1E"/>
    <w:rsid w:val="00C13C95"/>
    <w:rsid w:val="00C21782"/>
    <w:rsid w:val="00C3385E"/>
    <w:rsid w:val="00C33DD9"/>
    <w:rsid w:val="00C345BF"/>
    <w:rsid w:val="00C34D3B"/>
    <w:rsid w:val="00C363FA"/>
    <w:rsid w:val="00C42402"/>
    <w:rsid w:val="00C507CD"/>
    <w:rsid w:val="00C51C2A"/>
    <w:rsid w:val="00C52A7A"/>
    <w:rsid w:val="00C53487"/>
    <w:rsid w:val="00C5358D"/>
    <w:rsid w:val="00C54708"/>
    <w:rsid w:val="00C62725"/>
    <w:rsid w:val="00C64896"/>
    <w:rsid w:val="00C66846"/>
    <w:rsid w:val="00C73A95"/>
    <w:rsid w:val="00C75FDE"/>
    <w:rsid w:val="00C8610E"/>
    <w:rsid w:val="00C935BB"/>
    <w:rsid w:val="00C9478D"/>
    <w:rsid w:val="00C94DCF"/>
    <w:rsid w:val="00C95C7F"/>
    <w:rsid w:val="00C9627E"/>
    <w:rsid w:val="00CA2EB3"/>
    <w:rsid w:val="00CA4B4E"/>
    <w:rsid w:val="00CB285B"/>
    <w:rsid w:val="00CB5965"/>
    <w:rsid w:val="00CC0A6E"/>
    <w:rsid w:val="00CC63A7"/>
    <w:rsid w:val="00CD0425"/>
    <w:rsid w:val="00CD225E"/>
    <w:rsid w:val="00CD2924"/>
    <w:rsid w:val="00CD470E"/>
    <w:rsid w:val="00CD5E1A"/>
    <w:rsid w:val="00CD66C1"/>
    <w:rsid w:val="00CD7876"/>
    <w:rsid w:val="00CE1F5F"/>
    <w:rsid w:val="00CE31DC"/>
    <w:rsid w:val="00CF22B7"/>
    <w:rsid w:val="00CF374E"/>
    <w:rsid w:val="00CF450D"/>
    <w:rsid w:val="00D0047C"/>
    <w:rsid w:val="00D008E6"/>
    <w:rsid w:val="00D03458"/>
    <w:rsid w:val="00D10E20"/>
    <w:rsid w:val="00D111F0"/>
    <w:rsid w:val="00D113E3"/>
    <w:rsid w:val="00D15E74"/>
    <w:rsid w:val="00D22252"/>
    <w:rsid w:val="00D2387A"/>
    <w:rsid w:val="00D2521E"/>
    <w:rsid w:val="00D25E7F"/>
    <w:rsid w:val="00D25EA5"/>
    <w:rsid w:val="00D35524"/>
    <w:rsid w:val="00D40322"/>
    <w:rsid w:val="00D42948"/>
    <w:rsid w:val="00D44A9E"/>
    <w:rsid w:val="00D45B17"/>
    <w:rsid w:val="00D50216"/>
    <w:rsid w:val="00D5583D"/>
    <w:rsid w:val="00D579E1"/>
    <w:rsid w:val="00D607BD"/>
    <w:rsid w:val="00D65A71"/>
    <w:rsid w:val="00D7133D"/>
    <w:rsid w:val="00D72854"/>
    <w:rsid w:val="00D84BF0"/>
    <w:rsid w:val="00D8661C"/>
    <w:rsid w:val="00D90840"/>
    <w:rsid w:val="00D92313"/>
    <w:rsid w:val="00D93179"/>
    <w:rsid w:val="00DA09E4"/>
    <w:rsid w:val="00DB3B5B"/>
    <w:rsid w:val="00DD440C"/>
    <w:rsid w:val="00DE0B44"/>
    <w:rsid w:val="00DE1E04"/>
    <w:rsid w:val="00DE1EDD"/>
    <w:rsid w:val="00DF322F"/>
    <w:rsid w:val="00E000F1"/>
    <w:rsid w:val="00E00476"/>
    <w:rsid w:val="00E0561E"/>
    <w:rsid w:val="00E270E4"/>
    <w:rsid w:val="00E314BF"/>
    <w:rsid w:val="00E3605F"/>
    <w:rsid w:val="00E36EA8"/>
    <w:rsid w:val="00E37C83"/>
    <w:rsid w:val="00E5000A"/>
    <w:rsid w:val="00E512FC"/>
    <w:rsid w:val="00E51775"/>
    <w:rsid w:val="00E60D0B"/>
    <w:rsid w:val="00E62614"/>
    <w:rsid w:val="00E66467"/>
    <w:rsid w:val="00E71322"/>
    <w:rsid w:val="00E92116"/>
    <w:rsid w:val="00E92C66"/>
    <w:rsid w:val="00E95791"/>
    <w:rsid w:val="00E971B4"/>
    <w:rsid w:val="00EA6E56"/>
    <w:rsid w:val="00EB0AFA"/>
    <w:rsid w:val="00EB0FD7"/>
    <w:rsid w:val="00EB1181"/>
    <w:rsid w:val="00EB6DAE"/>
    <w:rsid w:val="00ED1551"/>
    <w:rsid w:val="00ED1C13"/>
    <w:rsid w:val="00ED7DBA"/>
    <w:rsid w:val="00EE6512"/>
    <w:rsid w:val="00F10D79"/>
    <w:rsid w:val="00F15CAB"/>
    <w:rsid w:val="00F176ED"/>
    <w:rsid w:val="00F22BB3"/>
    <w:rsid w:val="00F25550"/>
    <w:rsid w:val="00F261F0"/>
    <w:rsid w:val="00F36362"/>
    <w:rsid w:val="00F43969"/>
    <w:rsid w:val="00F4741D"/>
    <w:rsid w:val="00F55215"/>
    <w:rsid w:val="00F554F0"/>
    <w:rsid w:val="00F67433"/>
    <w:rsid w:val="00F70453"/>
    <w:rsid w:val="00F719AC"/>
    <w:rsid w:val="00F80E42"/>
    <w:rsid w:val="00F82499"/>
    <w:rsid w:val="00F85D17"/>
    <w:rsid w:val="00F87224"/>
    <w:rsid w:val="00F91498"/>
    <w:rsid w:val="00F936DF"/>
    <w:rsid w:val="00F94A06"/>
    <w:rsid w:val="00F94DB2"/>
    <w:rsid w:val="00F94E0D"/>
    <w:rsid w:val="00F954E0"/>
    <w:rsid w:val="00F97D8B"/>
    <w:rsid w:val="00FA634A"/>
    <w:rsid w:val="00FB1EC4"/>
    <w:rsid w:val="00FB255C"/>
    <w:rsid w:val="00FB5285"/>
    <w:rsid w:val="00FC22EF"/>
    <w:rsid w:val="00FD482E"/>
    <w:rsid w:val="00FE0349"/>
    <w:rsid w:val="00FE12EF"/>
    <w:rsid w:val="00FE3654"/>
    <w:rsid w:val="00FE6FE8"/>
    <w:rsid w:val="00FE7252"/>
    <w:rsid w:val="00FF1241"/>
    <w:rsid w:val="00FF13F4"/>
    <w:rsid w:val="00FF4E81"/>
    <w:rsid w:val="0128E362"/>
    <w:rsid w:val="0259D225"/>
    <w:rsid w:val="040F316D"/>
    <w:rsid w:val="04682A23"/>
    <w:rsid w:val="05778A92"/>
    <w:rsid w:val="0729A1AF"/>
    <w:rsid w:val="075E6FCA"/>
    <w:rsid w:val="079BCCE2"/>
    <w:rsid w:val="08EFA536"/>
    <w:rsid w:val="0AD7D67D"/>
    <w:rsid w:val="0BBCA7EB"/>
    <w:rsid w:val="0C0D4F91"/>
    <w:rsid w:val="0D03BBDA"/>
    <w:rsid w:val="0D0A2316"/>
    <w:rsid w:val="0DB7DA59"/>
    <w:rsid w:val="0DB8B372"/>
    <w:rsid w:val="0E3DBE7E"/>
    <w:rsid w:val="0ED2F685"/>
    <w:rsid w:val="0EE846C0"/>
    <w:rsid w:val="0F1D6EF8"/>
    <w:rsid w:val="1010C5C0"/>
    <w:rsid w:val="10351085"/>
    <w:rsid w:val="103B29CB"/>
    <w:rsid w:val="109A1595"/>
    <w:rsid w:val="12EE6919"/>
    <w:rsid w:val="143AF054"/>
    <w:rsid w:val="16614A2E"/>
    <w:rsid w:val="16BA72A0"/>
    <w:rsid w:val="16CC6A3C"/>
    <w:rsid w:val="16D5AF3B"/>
    <w:rsid w:val="18D3822D"/>
    <w:rsid w:val="19281DDC"/>
    <w:rsid w:val="19E59322"/>
    <w:rsid w:val="1A07432C"/>
    <w:rsid w:val="1CF88E8C"/>
    <w:rsid w:val="1E15FDF3"/>
    <w:rsid w:val="1E2A25EB"/>
    <w:rsid w:val="1FD0D971"/>
    <w:rsid w:val="22ACF2FB"/>
    <w:rsid w:val="24C55949"/>
    <w:rsid w:val="24DF314C"/>
    <w:rsid w:val="24EAA7D9"/>
    <w:rsid w:val="2515B78A"/>
    <w:rsid w:val="26C3C002"/>
    <w:rsid w:val="2B206F5C"/>
    <w:rsid w:val="2B3CC66E"/>
    <w:rsid w:val="2B415E33"/>
    <w:rsid w:val="2B4291E2"/>
    <w:rsid w:val="2DDD04FA"/>
    <w:rsid w:val="2E800A4C"/>
    <w:rsid w:val="30833D3A"/>
    <w:rsid w:val="30E700A0"/>
    <w:rsid w:val="322F5FEC"/>
    <w:rsid w:val="326CA6BC"/>
    <w:rsid w:val="354A1F71"/>
    <w:rsid w:val="36115596"/>
    <w:rsid w:val="3753CAD2"/>
    <w:rsid w:val="38A9F04E"/>
    <w:rsid w:val="3A6C4533"/>
    <w:rsid w:val="3AEE1315"/>
    <w:rsid w:val="3B92D6B9"/>
    <w:rsid w:val="3E2B5E74"/>
    <w:rsid w:val="3FC44CE4"/>
    <w:rsid w:val="40D44E73"/>
    <w:rsid w:val="41601D45"/>
    <w:rsid w:val="42018303"/>
    <w:rsid w:val="4402DF57"/>
    <w:rsid w:val="4424E4E1"/>
    <w:rsid w:val="45679F31"/>
    <w:rsid w:val="459BCC25"/>
    <w:rsid w:val="46BF0EF2"/>
    <w:rsid w:val="46F5DF56"/>
    <w:rsid w:val="470F91E2"/>
    <w:rsid w:val="4746E236"/>
    <w:rsid w:val="477461F9"/>
    <w:rsid w:val="4872AC74"/>
    <w:rsid w:val="496A9C3B"/>
    <w:rsid w:val="4B1E239F"/>
    <w:rsid w:val="4C64AD8B"/>
    <w:rsid w:val="4C793F21"/>
    <w:rsid w:val="4CDD5E0B"/>
    <w:rsid w:val="4E792E6C"/>
    <w:rsid w:val="4FDC30E2"/>
    <w:rsid w:val="51972CBE"/>
    <w:rsid w:val="519B579F"/>
    <w:rsid w:val="520BAC8F"/>
    <w:rsid w:val="52A5F537"/>
    <w:rsid w:val="52E7997A"/>
    <w:rsid w:val="540D5BE5"/>
    <w:rsid w:val="54CF4793"/>
    <w:rsid w:val="55F7ACD8"/>
    <w:rsid w:val="57BDAF15"/>
    <w:rsid w:val="57D14D1C"/>
    <w:rsid w:val="5913F274"/>
    <w:rsid w:val="59321497"/>
    <w:rsid w:val="597E05A6"/>
    <w:rsid w:val="5AB0C76E"/>
    <w:rsid w:val="5B025E02"/>
    <w:rsid w:val="5B628833"/>
    <w:rsid w:val="5BF4F205"/>
    <w:rsid w:val="5C591032"/>
    <w:rsid w:val="5C5FD026"/>
    <w:rsid w:val="5DCBA082"/>
    <w:rsid w:val="5EA2FC36"/>
    <w:rsid w:val="5EF42D44"/>
    <w:rsid w:val="5F46CD0A"/>
    <w:rsid w:val="60328F84"/>
    <w:rsid w:val="61423851"/>
    <w:rsid w:val="622B4A90"/>
    <w:rsid w:val="62427851"/>
    <w:rsid w:val="625A338C"/>
    <w:rsid w:val="6324B39A"/>
    <w:rsid w:val="6329505D"/>
    <w:rsid w:val="6341E181"/>
    <w:rsid w:val="64883E73"/>
    <w:rsid w:val="652FF9BD"/>
    <w:rsid w:val="653F2C16"/>
    <w:rsid w:val="688E253D"/>
    <w:rsid w:val="6B5C9A67"/>
    <w:rsid w:val="6C030A9E"/>
    <w:rsid w:val="6C0ECDE2"/>
    <w:rsid w:val="6E1E08C2"/>
    <w:rsid w:val="6E641FA8"/>
    <w:rsid w:val="6EB3C502"/>
    <w:rsid w:val="7116C2C3"/>
    <w:rsid w:val="71C918AE"/>
    <w:rsid w:val="72CE02C2"/>
    <w:rsid w:val="7323CFE1"/>
    <w:rsid w:val="75008406"/>
    <w:rsid w:val="7532BA54"/>
    <w:rsid w:val="782FAF12"/>
    <w:rsid w:val="7A895041"/>
    <w:rsid w:val="7C10159A"/>
    <w:rsid w:val="7C6799AC"/>
    <w:rsid w:val="7CA3D77D"/>
    <w:rsid w:val="7E720322"/>
    <w:rsid w:val="7F5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5C5A"/>
  <w15:chartTrackingRefBased/>
  <w15:docId w15:val="{4F742A95-F085-4E0D-A164-3DD7A12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73"/>
  </w:style>
  <w:style w:type="paragraph" w:styleId="Heading1">
    <w:name w:val="heading 1"/>
    <w:basedOn w:val="Normal"/>
    <w:next w:val="Normal"/>
    <w:link w:val="Heading1Char"/>
    <w:uiPriority w:val="9"/>
    <w:qFormat/>
    <w:rsid w:val="00780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02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7"/>
      <w:szCs w:val="27"/>
    </w:rPr>
  </w:style>
  <w:style w:type="paragraph" w:styleId="ListParagraph">
    <w:name w:val="List Paragraph"/>
    <w:basedOn w:val="Normal"/>
    <w:uiPriority w:val="34"/>
    <w:qFormat/>
    <w:rsid w:val="007802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B7CFB"/>
    <w:rPr>
      <w:sz w:val="13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rsid w:val="008B7CFB"/>
    <w:pPr>
      <w:spacing w:line="240" w:lineRule="auto"/>
    </w:pPr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C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FB"/>
    <w:rPr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4C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1E"/>
  </w:style>
  <w:style w:type="paragraph" w:styleId="Footer">
    <w:name w:val="footer"/>
    <w:basedOn w:val="Normal"/>
    <w:link w:val="Foot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1E"/>
  </w:style>
  <w:style w:type="character" w:styleId="Hyperlink">
    <w:name w:val="Hyperlink"/>
    <w:basedOn w:val="DefaultParagraphFont"/>
    <w:uiPriority w:val="99"/>
    <w:unhideWhenUsed/>
    <w:rsid w:val="0095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F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62725"/>
    <w:rPr>
      <w:rFonts w:ascii="Segoe UI" w:hAnsi="Segoe UI" w:cs="Segoe UI" w:hint="default"/>
      <w:sz w:val="15"/>
      <w:szCs w:val="15"/>
    </w:rPr>
  </w:style>
  <w:style w:type="character" w:customStyle="1" w:styleId="cf11">
    <w:name w:val="cf11"/>
    <w:basedOn w:val="DefaultParagraphFont"/>
    <w:rsid w:val="00C62725"/>
    <w:rPr>
      <w:rFonts w:ascii="Segoe UI" w:hAnsi="Segoe UI" w:cs="Segoe UI" w:hint="default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8ef829-98c5-46d1-83dc-c2ef7c814da2" xsi:nil="true"/>
    <TaxCatchAll xmlns="2ddeef39-65d3-4660-94f2-f063f949c57e" xsi:nil="true"/>
    <lcf76f155ced4ddcb4097134ff3c332f xmlns="288ef829-98c5-46d1-83dc-c2ef7c814da2">
      <Terms xmlns="http://schemas.microsoft.com/office/infopath/2007/PartnerControls"/>
    </lcf76f155ced4ddcb4097134ff3c332f>
    <SharedWithUsers xmlns="2ddeef39-65d3-4660-94f2-f063f949c57e">
      <UserInfo>
        <DisplayName>John Stover</DisplayName>
        <AccountId>2253</AccountId>
        <AccountType/>
      </UserInfo>
      <UserInfo>
        <DisplayName>WANYEKI, Ian</DisplayName>
        <AccountId>197</AccountId>
        <AccountType/>
      </UserInfo>
      <UserInfo>
        <DisplayName>MAHY, Mary</DisplayName>
        <AccountId>20</AccountId>
        <AccountType/>
      </UserInfo>
      <UserInfo>
        <DisplayName>Robert Glaubius</DisplayName>
        <AccountId>5514</AccountId>
        <AccountType/>
      </UserInfo>
      <UserInfo>
        <DisplayName>SABIN, Keith</DisplayName>
        <AccountId>25</AccountId>
        <AccountType/>
      </UserInfo>
      <UserInfo>
        <DisplayName>KORENROMP, Eline Louise</DisplayName>
        <AccountId>7579</AccountId>
        <AccountType/>
      </UserInfo>
      <UserInfo>
        <DisplayName>DAHER, Juliana</DisplayName>
        <AccountId>63</AccountId>
        <AccountType/>
      </UserInfo>
      <UserInfo>
        <DisplayName>Tim Brown</DisplayName>
        <AccountId>394</AccountId>
        <AccountType/>
      </UserInfo>
      <UserInfo>
        <DisplayName>EBY, Ehounoud Pascal</DisplayName>
        <AccountId>44</AccountId>
        <AccountType/>
      </UserInfo>
      <UserInfo>
        <DisplayName>FRESCURA, Luisa</DisplayName>
        <AccountId>27</AccountId>
        <AccountType/>
      </UserInfo>
      <UserInfo>
        <DisplayName>RWODZI, Desire Tarwireyi</DisplayName>
        <AccountId>4456</AccountId>
        <AccountType/>
      </UserInfo>
      <UserInfo>
        <DisplayName>YAKUSIK, Anna</DisplayName>
        <AccountId>38</AccountId>
        <AccountType/>
      </UserInfo>
      <UserInfo>
        <DisplayName>BRACAMONTE BARDALEZ, Patricia</DisplayName>
        <AccountId>1140</AccountId>
        <AccountType/>
      </UserInfo>
      <UserInfo>
        <DisplayName>GUICHARD, Anne-Claire</DisplayName>
        <AccountId>7676</AccountId>
        <AccountType/>
      </UserInfo>
      <UserInfo>
        <DisplayName>MORO, Liana</DisplayName>
        <AccountId>4650</AccountId>
        <AccountType/>
      </UserInfo>
      <UserInfo>
        <DisplayName>YANG, Titi</DisplayName>
        <AccountId>10923</AccountId>
        <AccountType/>
      </UserInfo>
      <UserInfo>
        <DisplayName>DANIEL, Isabel</DisplayName>
        <AccountId>11269</AccountId>
        <AccountType/>
      </UserInfo>
      <UserInfo>
        <DisplayName>EL RHILANI, Houssine</DisplayName>
        <AccountId>828</AccountId>
        <AccountType/>
      </UserInfo>
      <UserInfo>
        <DisplayName>EL HAJJI, Hind</DisplayName>
        <AccountId>11072</AccountId>
        <AccountType/>
      </UserInfo>
      <UserInfo>
        <DisplayName>FEIZZADEH, Ali</DisplayName>
        <AccountId>248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E641F549574BB805BD9C73365D4F" ma:contentTypeVersion="19" ma:contentTypeDescription="Create a new document." ma:contentTypeScope="" ma:versionID="fd2d0a4ae318738fa5f1ff72e65b2934">
  <xsd:schema xmlns:xsd="http://www.w3.org/2001/XMLSchema" xmlns:xs="http://www.w3.org/2001/XMLSchema" xmlns:p="http://schemas.microsoft.com/office/2006/metadata/properties" xmlns:ns2="288ef829-98c5-46d1-83dc-c2ef7c814da2" xmlns:ns3="2ddeef39-65d3-4660-94f2-f063f949c57e" targetNamespace="http://schemas.microsoft.com/office/2006/metadata/properties" ma:root="true" ma:fieldsID="37c2625be6a258cebd7413079fa12bc5" ns2:_="" ns3:_="">
    <xsd:import namespace="288ef829-98c5-46d1-83dc-c2ef7c814da2"/>
    <xsd:import namespace="2ddeef39-65d3-4660-94f2-f063f949c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829-98c5-46d1-83dc-c2ef7c81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ef39-65d3-4660-94f2-f063f949c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142ec6-8224-48c2-babf-013e8b339833}" ma:internalName="TaxCatchAll" ma:showField="CatchAllData" ma:web="2ddeef39-65d3-4660-94f2-f063f949c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DA264-9CD3-4A62-8F85-E9F136C3D149}">
  <ds:schemaRefs>
    <ds:schemaRef ds:uri="http://schemas.microsoft.com/office/2006/metadata/properties"/>
    <ds:schemaRef ds:uri="http://schemas.microsoft.com/office/infopath/2007/PartnerControls"/>
    <ds:schemaRef ds:uri="288ef829-98c5-46d1-83dc-c2ef7c814da2"/>
    <ds:schemaRef ds:uri="2ddeef39-65d3-4660-94f2-f063f949c57e"/>
  </ds:schemaRefs>
</ds:datastoreItem>
</file>

<file path=customXml/itemProps2.xml><?xml version="1.0" encoding="utf-8"?>
<ds:datastoreItem xmlns:ds="http://schemas.openxmlformats.org/officeDocument/2006/customXml" ds:itemID="{CC4275AD-E43B-4F29-A573-EB536E60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829-98c5-46d1-83dc-c2ef7c814da2"/>
    <ds:schemaRef ds:uri="2ddeef39-65d3-4660-94f2-f063f949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B7500-C040-4731-89F1-8D4617D49A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Stover</dc:creator>
  <cp:keywords>, docId:FF5B6AC338A1AA57A178FB3AD63AB124</cp:keywords>
  <dc:description/>
  <cp:lastModifiedBy>KORENROMP, Eline Louise</cp:lastModifiedBy>
  <cp:revision>3</cp:revision>
  <dcterms:created xsi:type="dcterms:W3CDTF">2025-01-06T10:32:00Z</dcterms:created>
  <dcterms:modified xsi:type="dcterms:W3CDTF">2025-01-06T10:33:00Z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0x0101006893E641F549574BB805BD9C73365D4F</vt:lpwstr>
  </property>
  <property fmtid="{D5CDD505-2E9C-101B-9397-08002B2CF9AE}" pid="3" name="MediaServiceImageTags">
    <vt:lpwstr/>
  </property>
</Properties>
</file>