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63A1" w14:textId="7DC80882" w:rsidR="006E2C6B" w:rsidRPr="00300B87" w:rsidRDefault="006E2C6B" w:rsidP="00300B87">
      <w:pPr>
        <w:pStyle w:val="NewBody"/>
        <w:jc w:val="center"/>
        <w:rPr>
          <w:rFonts w:cstheme="minorHAnsi"/>
          <w:b/>
          <w:bCs/>
          <w:szCs w:val="22"/>
        </w:rPr>
      </w:pPr>
      <w:r>
        <w:rPr>
          <w:b/>
        </w:rPr>
        <w:t xml:space="preserve">¿Qué novedades presenta </w:t>
      </w:r>
      <w:proofErr w:type="spellStart"/>
      <w:r>
        <w:rPr>
          <w:b/>
        </w:rPr>
        <w:t>Spectrum</w:t>
      </w:r>
      <w:proofErr w:type="spellEnd"/>
      <w:r>
        <w:rPr>
          <w:b/>
        </w:rPr>
        <w:t xml:space="preserve"> para las estimaciones del VIH de 2023?</w:t>
      </w:r>
      <w:r>
        <w:rPr>
          <w:b/>
        </w:rPr>
        <w:br/>
      </w:r>
    </w:p>
    <w:p w14:paraId="370996DF" w14:textId="4881ECB7" w:rsidR="006E2C6B" w:rsidRPr="00300B87" w:rsidRDefault="006E2C6B" w:rsidP="006E2C6B">
      <w:pPr>
        <w:pStyle w:val="Heading3"/>
        <w:rPr>
          <w:rFonts w:asciiTheme="minorHAnsi" w:hAnsiTheme="minorHAnsi" w:cstheme="minorHAnsi"/>
          <w:sz w:val="22"/>
          <w:szCs w:val="22"/>
        </w:rPr>
      </w:pPr>
      <w:bookmarkStart w:id="0" w:name="_Toc282130583"/>
      <w:bookmarkStart w:id="1" w:name="_Toc1955133761"/>
      <w:bookmarkStart w:id="2" w:name="_Toc120528410"/>
      <w:proofErr w:type="spellStart"/>
      <w:r>
        <w:rPr>
          <w:rFonts w:asciiTheme="minorHAnsi" w:hAnsiTheme="minorHAnsi"/>
          <w:sz w:val="22"/>
        </w:rPr>
        <w:t>DemProj</w:t>
      </w:r>
      <w:proofErr w:type="spellEnd"/>
      <w:r>
        <w:rPr>
          <w:rFonts w:asciiTheme="minorHAnsi" w:hAnsiTheme="minorHAnsi"/>
          <w:sz w:val="22"/>
        </w:rPr>
        <w:t>, WPP</w:t>
      </w:r>
      <w:bookmarkEnd w:id="0"/>
      <w:bookmarkEnd w:id="1"/>
      <w:bookmarkEnd w:id="2"/>
    </w:p>
    <w:p w14:paraId="05EDAB41" w14:textId="77777777" w:rsidR="006E2C6B" w:rsidRPr="00300B87" w:rsidRDefault="006E2C6B" w:rsidP="006E2C6B">
      <w:pPr>
        <w:spacing w:after="160" w:line="259" w:lineRule="auto"/>
        <w:rPr>
          <w:rFonts w:asciiTheme="minorHAnsi" w:hAnsiTheme="minorHAnsi" w:cstheme="minorHAnsi"/>
          <w:sz w:val="22"/>
          <w:szCs w:val="22"/>
        </w:rPr>
      </w:pPr>
      <w:r>
        <w:rPr>
          <w:rFonts w:asciiTheme="minorHAnsi" w:hAnsiTheme="minorHAnsi"/>
          <w:sz w:val="22"/>
        </w:rPr>
        <w:t xml:space="preserve">Las proyecciones de la Perspectiva de la Población Mundial 2022 están disponibles para su carga y uso en todos los archivos a nivel nacional, en </w:t>
      </w:r>
      <w:proofErr w:type="spellStart"/>
      <w:r>
        <w:rPr>
          <w:rFonts w:asciiTheme="minorHAnsi" w:hAnsiTheme="minorHAnsi"/>
          <w:sz w:val="22"/>
        </w:rPr>
        <w:t>DemProj</w:t>
      </w:r>
      <w:proofErr w:type="spellEnd"/>
      <w:r>
        <w:rPr>
          <w:rFonts w:asciiTheme="minorHAnsi" w:hAnsiTheme="minorHAnsi"/>
          <w:sz w:val="22"/>
        </w:rPr>
        <w:t xml:space="preserve">. Los nuevos datos de población se basan en un nuevo marco temporal y representan valores de final de año. </w:t>
      </w:r>
    </w:p>
    <w:p w14:paraId="09CF7F9C" w14:textId="5415398C" w:rsidR="006E2C6B" w:rsidRPr="00300B87" w:rsidRDefault="006E2C6B" w:rsidP="006E2C6B">
      <w:pPr>
        <w:spacing w:after="160" w:line="259" w:lineRule="auto"/>
        <w:rPr>
          <w:rFonts w:asciiTheme="minorHAnsi" w:hAnsiTheme="minorHAnsi" w:cstheme="minorHAnsi"/>
          <w:sz w:val="22"/>
          <w:szCs w:val="22"/>
        </w:rPr>
      </w:pPr>
      <w:r>
        <w:rPr>
          <w:rFonts w:asciiTheme="minorHAnsi" w:hAnsiTheme="minorHAnsi"/>
          <w:sz w:val="22"/>
        </w:rPr>
        <w:t xml:space="preserve">En consecuencia, las nuevas estimaciones de </w:t>
      </w:r>
      <w:proofErr w:type="spellStart"/>
      <w:r>
        <w:rPr>
          <w:rFonts w:asciiTheme="minorHAnsi" w:hAnsiTheme="minorHAnsi"/>
          <w:sz w:val="22"/>
        </w:rPr>
        <w:t>Spectrum</w:t>
      </w:r>
      <w:proofErr w:type="spellEnd"/>
      <w:r>
        <w:rPr>
          <w:rFonts w:asciiTheme="minorHAnsi" w:hAnsiTheme="minorHAnsi"/>
          <w:sz w:val="22"/>
        </w:rPr>
        <w:t xml:space="preserve"> se referirán al final del año </w:t>
      </w:r>
      <w:r w:rsidR="00B46819">
        <w:rPr>
          <w:rFonts w:asciiTheme="minorHAnsi" w:hAnsiTheme="minorHAnsi"/>
          <w:sz w:val="22"/>
        </w:rPr>
        <w:t>calendario</w:t>
      </w:r>
      <w:r>
        <w:rPr>
          <w:rFonts w:asciiTheme="minorHAnsi" w:hAnsiTheme="minorHAnsi"/>
          <w:sz w:val="22"/>
        </w:rPr>
        <w:t xml:space="preserve">, 6 meses más tarde que </w:t>
      </w:r>
      <w:r w:rsidR="00B46819">
        <w:rPr>
          <w:rFonts w:asciiTheme="minorHAnsi" w:hAnsiTheme="minorHAnsi"/>
          <w:sz w:val="22"/>
        </w:rPr>
        <w:t xml:space="preserve">el período que se utilizaba en </w:t>
      </w:r>
      <w:r>
        <w:rPr>
          <w:rFonts w:asciiTheme="minorHAnsi" w:hAnsiTheme="minorHAnsi"/>
          <w:sz w:val="22"/>
        </w:rPr>
        <w:t>las anteriores</w:t>
      </w:r>
      <w:r w:rsidR="00B46819">
        <w:rPr>
          <w:rFonts w:asciiTheme="minorHAnsi" w:hAnsiTheme="minorHAnsi"/>
          <w:sz w:val="22"/>
        </w:rPr>
        <w:t xml:space="preserve"> estimaciones</w:t>
      </w:r>
      <w:r>
        <w:rPr>
          <w:rFonts w:asciiTheme="minorHAnsi" w:hAnsiTheme="minorHAnsi"/>
          <w:sz w:val="22"/>
        </w:rPr>
        <w:t xml:space="preserve">.  </w:t>
      </w:r>
      <w:r w:rsidR="00AB2D3D">
        <w:rPr>
          <w:rFonts w:asciiTheme="minorHAnsi" w:hAnsiTheme="minorHAnsi"/>
          <w:sz w:val="22"/>
        </w:rPr>
        <w:t>Es decir, l</w:t>
      </w:r>
      <w:r>
        <w:rPr>
          <w:rFonts w:asciiTheme="minorHAnsi" w:hAnsiTheme="minorHAnsi"/>
          <w:sz w:val="22"/>
        </w:rPr>
        <w:t>as estimaciones de nuevas infecciones por VIH se refieren ahora al periodo comprendido entre el 1 de enero de 2022 y el 31 de diciembre de 2022, en lugar de</w:t>
      </w:r>
      <w:r w:rsidR="00AB2D3D">
        <w:rPr>
          <w:rFonts w:asciiTheme="minorHAnsi" w:hAnsiTheme="minorHAnsi"/>
          <w:sz w:val="22"/>
        </w:rPr>
        <w:t xml:space="preserve">l periodo de </w:t>
      </w:r>
      <w:r>
        <w:rPr>
          <w:rFonts w:asciiTheme="minorHAnsi" w:hAnsiTheme="minorHAnsi"/>
          <w:sz w:val="22"/>
        </w:rPr>
        <w:t xml:space="preserve">las estimaciones anteriores, que se referían al periodo comprendido entre el 1 de julio de 2021 y el 30 de junio de 2022. </w:t>
      </w:r>
    </w:p>
    <w:p w14:paraId="785F307A" w14:textId="2B03CB70" w:rsidR="006E2C6B" w:rsidRPr="00300B87" w:rsidRDefault="006E2C6B" w:rsidP="006E2C6B">
      <w:pPr>
        <w:pStyle w:val="Heading3"/>
        <w:rPr>
          <w:rFonts w:asciiTheme="minorHAnsi" w:hAnsiTheme="minorHAnsi" w:cstheme="minorHAnsi"/>
          <w:sz w:val="22"/>
          <w:szCs w:val="22"/>
        </w:rPr>
      </w:pPr>
      <w:bookmarkStart w:id="3" w:name="_Toc120528411"/>
      <w:bookmarkStart w:id="4" w:name="_Toc1554711931"/>
      <w:bookmarkStart w:id="5" w:name="_Toc1417346539"/>
      <w:r>
        <w:rPr>
          <w:rFonts w:asciiTheme="minorHAnsi" w:hAnsiTheme="minorHAnsi"/>
          <w:sz w:val="22"/>
        </w:rPr>
        <w:t>AIM, pruebas de control prenatal y reducción de la fecundidad relacionada con el VIH</w:t>
      </w:r>
      <w:bookmarkEnd w:id="3"/>
      <w:bookmarkEnd w:id="4"/>
      <w:bookmarkEnd w:id="5"/>
    </w:p>
    <w:p w14:paraId="76D3A9FC" w14:textId="1D571A12" w:rsidR="006E2C6B" w:rsidRPr="00300B87" w:rsidRDefault="006E2C6B" w:rsidP="006E2C6B">
      <w:pPr>
        <w:spacing w:after="160" w:line="259" w:lineRule="auto"/>
        <w:rPr>
          <w:rFonts w:asciiTheme="minorHAnsi" w:hAnsiTheme="minorHAnsi" w:cstheme="minorHAnsi"/>
          <w:sz w:val="22"/>
          <w:szCs w:val="22"/>
        </w:rPr>
      </w:pPr>
      <w:r>
        <w:rPr>
          <w:rFonts w:asciiTheme="minorHAnsi" w:hAnsiTheme="minorHAnsi"/>
          <w:sz w:val="22"/>
        </w:rPr>
        <w:t xml:space="preserve">La pestaña de pruebas de control prenatal </w:t>
      </w:r>
      <w:r w:rsidR="008A7CC1">
        <w:rPr>
          <w:rFonts w:asciiTheme="minorHAnsi" w:hAnsiTheme="minorHAnsi"/>
          <w:sz w:val="22"/>
        </w:rPr>
        <w:t xml:space="preserve">(CPN) </w:t>
      </w:r>
      <w:r>
        <w:rPr>
          <w:rFonts w:asciiTheme="minorHAnsi" w:hAnsiTheme="minorHAnsi"/>
          <w:sz w:val="22"/>
        </w:rPr>
        <w:t xml:space="preserve">tiene dos filas adicionales, para </w:t>
      </w:r>
      <w:r>
        <w:rPr>
          <w:rFonts w:asciiTheme="minorHAnsi" w:hAnsiTheme="minorHAnsi"/>
          <w:b/>
          <w:sz w:val="22"/>
        </w:rPr>
        <w:t>«total de nacidos vivos en centros sanitarios»</w:t>
      </w:r>
      <w:r>
        <w:rPr>
          <w:rFonts w:asciiTheme="minorHAnsi" w:hAnsiTheme="minorHAnsi"/>
          <w:sz w:val="22"/>
        </w:rPr>
        <w:t xml:space="preserve"> y </w:t>
      </w:r>
      <w:r>
        <w:rPr>
          <w:rFonts w:asciiTheme="minorHAnsi" w:hAnsiTheme="minorHAnsi"/>
          <w:b/>
          <w:sz w:val="22"/>
        </w:rPr>
        <w:t>«VIH negativos conocidos». </w:t>
      </w:r>
      <w:r>
        <w:rPr>
          <w:rFonts w:asciiTheme="minorHAnsi" w:hAnsiTheme="minorHAnsi"/>
          <w:sz w:val="22"/>
        </w:rPr>
        <w:t xml:space="preserve">Estas dos variables ayudan a validar la calidad de los datos de las pruebas </w:t>
      </w:r>
      <w:r w:rsidR="000A1ED9">
        <w:rPr>
          <w:rFonts w:asciiTheme="minorHAnsi" w:hAnsiTheme="minorHAnsi"/>
          <w:sz w:val="22"/>
        </w:rPr>
        <w:t xml:space="preserve">rutinarias </w:t>
      </w:r>
      <w:r>
        <w:rPr>
          <w:rFonts w:asciiTheme="minorHAnsi" w:hAnsiTheme="minorHAnsi"/>
          <w:sz w:val="22"/>
        </w:rPr>
        <w:t>de control prenatal y la validez de la prevalencia de</w:t>
      </w:r>
      <w:r w:rsidR="00B20FF8">
        <w:rPr>
          <w:rFonts w:asciiTheme="minorHAnsi" w:hAnsiTheme="minorHAnsi"/>
          <w:sz w:val="22"/>
        </w:rPr>
        <w:t xml:space="preserve">l VIH en gestantes que </w:t>
      </w:r>
      <w:proofErr w:type="gramStart"/>
      <w:r w:rsidR="00B20FF8">
        <w:rPr>
          <w:rFonts w:asciiTheme="minorHAnsi" w:hAnsiTheme="minorHAnsi"/>
          <w:sz w:val="22"/>
        </w:rPr>
        <w:t xml:space="preserve">asisten </w:t>
      </w:r>
      <w:r w:rsidR="00B76C13">
        <w:rPr>
          <w:rFonts w:asciiTheme="minorHAnsi" w:hAnsiTheme="minorHAnsi"/>
          <w:sz w:val="22"/>
        </w:rPr>
        <w:t xml:space="preserve"> a</w:t>
      </w:r>
      <w:proofErr w:type="gramEnd"/>
      <w:r w:rsidR="00B20FF8">
        <w:rPr>
          <w:rFonts w:asciiTheme="minorHAnsi" w:hAnsiTheme="minorHAnsi"/>
          <w:sz w:val="22"/>
        </w:rPr>
        <w:t xml:space="preserve"> control </w:t>
      </w:r>
      <w:r>
        <w:rPr>
          <w:rFonts w:asciiTheme="minorHAnsi" w:hAnsiTheme="minorHAnsi"/>
          <w:sz w:val="22"/>
        </w:rPr>
        <w:t xml:space="preserve">prenatal calculada por </w:t>
      </w:r>
      <w:proofErr w:type="spellStart"/>
      <w:r>
        <w:rPr>
          <w:rFonts w:asciiTheme="minorHAnsi" w:hAnsiTheme="minorHAnsi"/>
          <w:sz w:val="22"/>
        </w:rPr>
        <w:t>Spectrum</w:t>
      </w:r>
      <w:proofErr w:type="spellEnd"/>
      <w:r>
        <w:rPr>
          <w:rFonts w:asciiTheme="minorHAnsi" w:hAnsiTheme="minorHAnsi"/>
          <w:sz w:val="22"/>
        </w:rPr>
        <w:t xml:space="preserve"> (mediante el ajuste local de reducción de la fecundidad) y para las mujeres </w:t>
      </w:r>
      <w:r w:rsidR="0047792F">
        <w:rPr>
          <w:rFonts w:asciiTheme="minorHAnsi" w:hAnsiTheme="minorHAnsi"/>
          <w:sz w:val="22"/>
        </w:rPr>
        <w:t xml:space="preserve">“remanentes” o mujeres </w:t>
      </w:r>
      <w:r w:rsidR="00B76C13">
        <w:rPr>
          <w:rFonts w:asciiTheme="minorHAnsi" w:hAnsiTheme="minorHAnsi"/>
          <w:sz w:val="22"/>
        </w:rPr>
        <w:t xml:space="preserve">de </w:t>
      </w:r>
      <w:r w:rsidR="0047792F">
        <w:rPr>
          <w:rFonts w:asciiTheme="minorHAnsi" w:hAnsiTheme="minorHAnsi"/>
          <w:sz w:val="22"/>
        </w:rPr>
        <w:t xml:space="preserve">la </w:t>
      </w:r>
      <w:r w:rsidR="00B76C13">
        <w:rPr>
          <w:rFonts w:asciiTheme="minorHAnsi" w:hAnsiTheme="minorHAnsi"/>
          <w:sz w:val="22"/>
        </w:rPr>
        <w:t xml:space="preserve">población </w:t>
      </w:r>
      <w:r w:rsidR="0047792F">
        <w:rPr>
          <w:rFonts w:asciiTheme="minorHAnsi" w:hAnsiTheme="minorHAnsi"/>
          <w:sz w:val="22"/>
        </w:rPr>
        <w:t>general</w:t>
      </w:r>
      <w:r>
        <w:rPr>
          <w:rFonts w:asciiTheme="minorHAnsi" w:hAnsiTheme="minorHAnsi"/>
          <w:sz w:val="22"/>
        </w:rPr>
        <w:t xml:space="preserve"> en los modelos del EPP (aunque introducidos y ajustados en el EPP, desglosados por subpoblación del EPP). El número de mujeres con estado serológico negativo conocido puede ignorarse si no se utiliza en su país.</w:t>
      </w:r>
    </w:p>
    <w:p w14:paraId="312D1784" w14:textId="77A97440" w:rsidR="006E2C6B" w:rsidRPr="00300B87" w:rsidRDefault="006E2C6B" w:rsidP="006E2C6B">
      <w:pPr>
        <w:spacing w:after="160" w:line="259" w:lineRule="auto"/>
        <w:rPr>
          <w:rFonts w:asciiTheme="minorHAnsi" w:hAnsiTheme="minorHAnsi" w:cstheme="minorHAnsi"/>
          <w:sz w:val="22"/>
          <w:szCs w:val="22"/>
        </w:rPr>
      </w:pPr>
      <w:r>
        <w:rPr>
          <w:rFonts w:asciiTheme="minorHAnsi" w:hAnsiTheme="minorHAnsi"/>
          <w:sz w:val="22"/>
        </w:rPr>
        <w:t xml:space="preserve">La reducción de la fecundidad relacionada con el VIH ahora toma los datos de prevalencia de </w:t>
      </w:r>
      <w:r w:rsidR="008A7CC1">
        <w:rPr>
          <w:rFonts w:asciiTheme="minorHAnsi" w:hAnsiTheme="minorHAnsi"/>
          <w:sz w:val="22"/>
        </w:rPr>
        <w:t>CPN</w:t>
      </w:r>
      <w:r>
        <w:rPr>
          <w:rFonts w:asciiTheme="minorHAnsi" w:hAnsiTheme="minorHAnsi"/>
          <w:sz w:val="22"/>
        </w:rPr>
        <w:t xml:space="preserve"> a nivel nacional de la pestaña de pruebas de </w:t>
      </w:r>
      <w:r w:rsidR="008A7CC1">
        <w:rPr>
          <w:rFonts w:asciiTheme="minorHAnsi" w:hAnsiTheme="minorHAnsi"/>
          <w:sz w:val="22"/>
        </w:rPr>
        <w:t>CPN</w:t>
      </w:r>
      <w:r>
        <w:rPr>
          <w:rFonts w:asciiTheme="minorHAnsi" w:hAnsiTheme="minorHAnsi"/>
          <w:sz w:val="22"/>
        </w:rPr>
        <w:t xml:space="preserve"> de AIM, en lugar de ser introducidos por el usuario o tomados del EPP. </w:t>
      </w:r>
    </w:p>
    <w:p w14:paraId="5D5F08A4" w14:textId="4BA0534A" w:rsidR="006E2C6B" w:rsidRPr="00300B87" w:rsidRDefault="006E2C6B" w:rsidP="006E2C6B">
      <w:pPr>
        <w:pStyle w:val="Heading3"/>
        <w:rPr>
          <w:rFonts w:asciiTheme="minorHAnsi" w:hAnsiTheme="minorHAnsi" w:cstheme="minorHAnsi"/>
          <w:sz w:val="22"/>
          <w:szCs w:val="22"/>
        </w:rPr>
      </w:pPr>
      <w:bookmarkStart w:id="6" w:name="_Toc586224270"/>
      <w:bookmarkStart w:id="7" w:name="_Toc1700932139"/>
      <w:bookmarkStart w:id="8" w:name="_Toc120528412"/>
      <w:r>
        <w:rPr>
          <w:rFonts w:asciiTheme="minorHAnsi" w:hAnsiTheme="minorHAnsi"/>
          <w:sz w:val="22"/>
        </w:rPr>
        <w:t>AIM, editor de TAR de adultos</w:t>
      </w:r>
      <w:bookmarkEnd w:id="6"/>
      <w:bookmarkEnd w:id="7"/>
      <w:bookmarkEnd w:id="8"/>
    </w:p>
    <w:p w14:paraId="21DB629B" w14:textId="3ADDAD71" w:rsidR="006E2C6B" w:rsidRPr="00300B87" w:rsidRDefault="006E2C6B" w:rsidP="006E2C6B">
      <w:pPr>
        <w:rPr>
          <w:rFonts w:asciiTheme="minorHAnsi" w:hAnsiTheme="minorHAnsi" w:cstheme="minorHAnsi"/>
          <w:sz w:val="22"/>
          <w:szCs w:val="22"/>
        </w:rPr>
      </w:pPr>
      <w:r>
        <w:rPr>
          <w:rFonts w:asciiTheme="minorHAnsi" w:hAnsiTheme="minorHAnsi"/>
          <w:sz w:val="22"/>
        </w:rPr>
        <w:t xml:space="preserve">Ahora puede registrar explícitamente los resultados de las evaluaciones de la calidad de los datos del TAR (tratamiento antirretroviral), como factor de corrección que ajusta los datos del programa por recuento insuficiente o excesivo por año </w:t>
      </w:r>
      <w:r w:rsidR="00294492">
        <w:rPr>
          <w:rFonts w:asciiTheme="minorHAnsi" w:hAnsiTheme="minorHAnsi"/>
          <w:sz w:val="22"/>
        </w:rPr>
        <w:t>calendario</w:t>
      </w:r>
      <w:r>
        <w:rPr>
          <w:rFonts w:asciiTheme="minorHAnsi" w:hAnsiTheme="minorHAnsi"/>
          <w:sz w:val="22"/>
        </w:rPr>
        <w:t>. A continuación, puede activar o desactivar este ajuste para cada ajuste de curva de incidencia en EPP o CSAVR.</w:t>
      </w:r>
    </w:p>
    <w:p w14:paraId="7862A4C7" w14:textId="77777777" w:rsidR="006E2C6B" w:rsidRPr="00C41AE3" w:rsidRDefault="006E2C6B" w:rsidP="006E2C6B">
      <w:pPr>
        <w:rPr>
          <w:rFonts w:asciiTheme="minorHAnsi" w:hAnsiTheme="minorHAnsi" w:cstheme="minorHAnsi"/>
          <w:sz w:val="22"/>
          <w:szCs w:val="22"/>
        </w:rPr>
      </w:pPr>
    </w:p>
    <w:p w14:paraId="7B5869A4" w14:textId="016522A0" w:rsidR="006E2C6B" w:rsidRPr="00300B87" w:rsidRDefault="006E2C6B" w:rsidP="006E2C6B">
      <w:pPr>
        <w:pStyle w:val="Heading3"/>
        <w:rPr>
          <w:rFonts w:asciiTheme="minorHAnsi" w:hAnsiTheme="minorHAnsi" w:cstheme="minorHAnsi"/>
          <w:sz w:val="22"/>
          <w:szCs w:val="22"/>
        </w:rPr>
      </w:pPr>
      <w:bookmarkStart w:id="9" w:name="_Toc120528413"/>
      <w:r>
        <w:rPr>
          <w:rFonts w:asciiTheme="minorHAnsi" w:hAnsiTheme="minorHAnsi"/>
          <w:sz w:val="22"/>
        </w:rPr>
        <w:t>AIM, editor de pruebas de diagnóstico del VIH</w:t>
      </w:r>
      <w:bookmarkEnd w:id="9"/>
    </w:p>
    <w:p w14:paraId="09D9A275" w14:textId="1486094E" w:rsidR="006E2C6B" w:rsidRPr="00300B87" w:rsidRDefault="007E0815" w:rsidP="006E2C6B">
      <w:pPr>
        <w:spacing w:afterLines="100" w:after="240"/>
        <w:rPr>
          <w:rFonts w:asciiTheme="minorHAnsi" w:hAnsiTheme="minorHAnsi" w:cstheme="minorHAnsi"/>
          <w:sz w:val="22"/>
          <w:szCs w:val="22"/>
        </w:rPr>
      </w:pPr>
      <w:r>
        <w:rPr>
          <w:rFonts w:asciiTheme="minorHAnsi" w:hAnsiTheme="minorHAnsi"/>
          <w:sz w:val="22"/>
        </w:rPr>
        <w:t>Hay una nueva pestaña que s</w:t>
      </w:r>
      <w:r w:rsidR="006E2C6B">
        <w:rPr>
          <w:rFonts w:asciiTheme="minorHAnsi" w:hAnsiTheme="minorHAnsi"/>
          <w:sz w:val="22"/>
        </w:rPr>
        <w:t xml:space="preserve">e puede rellenar con Total de pruebas; </w:t>
      </w:r>
      <w:r w:rsidR="00E74832">
        <w:rPr>
          <w:rFonts w:asciiTheme="minorHAnsi" w:hAnsiTheme="minorHAnsi"/>
          <w:sz w:val="22"/>
        </w:rPr>
        <w:t>Total de pruebas VIH positivas</w:t>
      </w:r>
      <w:r w:rsidR="006E2C6B">
        <w:rPr>
          <w:rFonts w:asciiTheme="minorHAnsi" w:hAnsiTheme="minorHAnsi"/>
          <w:sz w:val="22"/>
        </w:rPr>
        <w:t>; Pruebas en clínicas o servicios de pruebas de VIH (HTC</w:t>
      </w:r>
      <w:r w:rsidR="003F1DD8">
        <w:rPr>
          <w:rFonts w:asciiTheme="minorHAnsi" w:hAnsiTheme="minorHAnsi"/>
          <w:sz w:val="22"/>
        </w:rPr>
        <w:t xml:space="preserve"> -centros de </w:t>
      </w:r>
      <w:r w:rsidR="00C20A68">
        <w:rPr>
          <w:rFonts w:asciiTheme="minorHAnsi" w:hAnsiTheme="minorHAnsi"/>
          <w:sz w:val="22"/>
        </w:rPr>
        <w:t xml:space="preserve">pruebas de VIH </w:t>
      </w:r>
      <w:r w:rsidR="006E2C6B">
        <w:rPr>
          <w:rFonts w:asciiTheme="minorHAnsi" w:hAnsiTheme="minorHAnsi"/>
          <w:sz w:val="22"/>
        </w:rPr>
        <w:t>/HTS</w:t>
      </w:r>
      <w:r w:rsidR="00C20A68">
        <w:rPr>
          <w:rFonts w:asciiTheme="minorHAnsi" w:hAnsiTheme="minorHAnsi"/>
          <w:sz w:val="22"/>
        </w:rPr>
        <w:t xml:space="preserve"> -servicios de pruebas de VIH</w:t>
      </w:r>
      <w:r w:rsidR="006E2C6B">
        <w:rPr>
          <w:rFonts w:asciiTheme="minorHAnsi" w:hAnsiTheme="minorHAnsi"/>
          <w:sz w:val="22"/>
        </w:rPr>
        <w:t xml:space="preserve">); Pruebas </w:t>
      </w:r>
      <w:r w:rsidR="00493D9E">
        <w:rPr>
          <w:rFonts w:asciiTheme="minorHAnsi" w:hAnsiTheme="minorHAnsi"/>
          <w:sz w:val="22"/>
        </w:rPr>
        <w:t xml:space="preserve">VIH positivas en </w:t>
      </w:r>
      <w:r w:rsidR="006E2C6B">
        <w:rPr>
          <w:rFonts w:asciiTheme="minorHAnsi" w:hAnsiTheme="minorHAnsi"/>
          <w:sz w:val="22"/>
        </w:rPr>
        <w:t xml:space="preserve">HTC; Pruebas autoadministradas; Pruebas </w:t>
      </w:r>
      <w:r w:rsidR="00F53952">
        <w:rPr>
          <w:rFonts w:asciiTheme="minorHAnsi" w:hAnsiTheme="minorHAnsi"/>
          <w:sz w:val="22"/>
        </w:rPr>
        <w:t xml:space="preserve">aplicadas a la pareja del caso </w:t>
      </w:r>
      <w:proofErr w:type="spellStart"/>
      <w:r w:rsidR="00F53952">
        <w:rPr>
          <w:rFonts w:asciiTheme="minorHAnsi" w:hAnsiTheme="minorHAnsi"/>
          <w:sz w:val="22"/>
        </w:rPr>
        <w:t>indice</w:t>
      </w:r>
      <w:proofErr w:type="spellEnd"/>
      <w:r w:rsidR="006E2C6B">
        <w:rPr>
          <w:rFonts w:asciiTheme="minorHAnsi" w:hAnsiTheme="minorHAnsi"/>
          <w:sz w:val="22"/>
        </w:rPr>
        <w:t>; y Pruebas HTC/HTS por separado para hombres y mujeres, por grupo de edad</w:t>
      </w:r>
      <w:r w:rsidR="00AD7F1C">
        <w:rPr>
          <w:rFonts w:asciiTheme="minorHAnsi" w:hAnsiTheme="minorHAnsi"/>
          <w:sz w:val="22"/>
        </w:rPr>
        <w:t xml:space="preserve"> según reporte</w:t>
      </w:r>
      <w:r w:rsidR="006E2C6B">
        <w:rPr>
          <w:rFonts w:asciiTheme="minorHAnsi" w:hAnsiTheme="minorHAnsi"/>
          <w:sz w:val="22"/>
        </w:rPr>
        <w:t xml:space="preserve"> GAM. Estos sirven de contexto a las tendencias de nuevos diagnósticos y Conocimiento del estado </w:t>
      </w:r>
      <w:r w:rsidR="005E3EF0">
        <w:rPr>
          <w:rFonts w:asciiTheme="minorHAnsi" w:hAnsiTheme="minorHAnsi"/>
          <w:sz w:val="22"/>
        </w:rPr>
        <w:t xml:space="preserve">serológico </w:t>
      </w:r>
      <w:r w:rsidR="006E2C6B">
        <w:rPr>
          <w:rFonts w:asciiTheme="minorHAnsi" w:hAnsiTheme="minorHAnsi"/>
          <w:sz w:val="22"/>
        </w:rPr>
        <w:t>estimad</w:t>
      </w:r>
      <w:r w:rsidR="005E3EF0">
        <w:rPr>
          <w:rFonts w:asciiTheme="minorHAnsi" w:hAnsiTheme="minorHAnsi"/>
          <w:sz w:val="22"/>
        </w:rPr>
        <w:t>o</w:t>
      </w:r>
      <w:r w:rsidR="006E2C6B">
        <w:rPr>
          <w:rFonts w:asciiTheme="minorHAnsi" w:hAnsiTheme="minorHAnsi"/>
          <w:sz w:val="22"/>
        </w:rPr>
        <w:t>s por el modelo Shiny90 o CSAVR.</w:t>
      </w:r>
    </w:p>
    <w:p w14:paraId="7D3A08F0" w14:textId="095EAADA" w:rsidR="006E2C6B" w:rsidRPr="00300B87" w:rsidRDefault="006E2C6B" w:rsidP="006E2C6B">
      <w:pPr>
        <w:pStyle w:val="Heading3"/>
        <w:rPr>
          <w:rFonts w:asciiTheme="minorHAnsi" w:hAnsiTheme="minorHAnsi" w:cstheme="minorHAnsi"/>
          <w:sz w:val="22"/>
          <w:szCs w:val="22"/>
        </w:rPr>
      </w:pPr>
      <w:bookmarkStart w:id="10" w:name="_Toc1358248557"/>
      <w:bookmarkStart w:id="11" w:name="_Toc709511052"/>
      <w:bookmarkStart w:id="12" w:name="_Toc120528414"/>
      <w:r>
        <w:rPr>
          <w:rFonts w:asciiTheme="minorHAnsi" w:hAnsiTheme="minorHAnsi"/>
          <w:sz w:val="22"/>
        </w:rPr>
        <w:t>AIM, Mortalidad de adultos que reciben TAR</w:t>
      </w:r>
      <w:bookmarkEnd w:id="10"/>
      <w:bookmarkEnd w:id="11"/>
      <w:bookmarkEnd w:id="12"/>
    </w:p>
    <w:p w14:paraId="3675E65C" w14:textId="5B203F49" w:rsidR="006E2C6B" w:rsidRPr="00300B87" w:rsidRDefault="006E2C6B" w:rsidP="006E2C6B">
      <w:pPr>
        <w:spacing w:afterLines="100" w:after="240"/>
        <w:rPr>
          <w:rFonts w:asciiTheme="minorHAnsi" w:hAnsiTheme="minorHAnsi" w:cstheme="minorHAnsi"/>
          <w:sz w:val="22"/>
          <w:szCs w:val="22"/>
        </w:rPr>
      </w:pPr>
      <w:r>
        <w:rPr>
          <w:rFonts w:asciiTheme="minorHAnsi" w:hAnsiTheme="minorHAnsi"/>
          <w:sz w:val="22"/>
        </w:rPr>
        <w:t xml:space="preserve">En el caso de los países de ingresos altos, las tasas de mortalidad predeterminadas para las personas que realizan TAR, especialmente en la categoría de CD4&gt;500, se redujeron para que coincidieran con los datos de buena calidad sobre la causa de muerte (análisis </w:t>
      </w:r>
      <w:r w:rsidR="00313E10">
        <w:rPr>
          <w:rFonts w:asciiTheme="minorHAnsi" w:hAnsiTheme="minorHAnsi"/>
          <w:sz w:val="22"/>
        </w:rPr>
        <w:t xml:space="preserve">multicéntrico </w:t>
      </w:r>
      <w:r>
        <w:rPr>
          <w:rFonts w:asciiTheme="minorHAnsi" w:hAnsiTheme="minorHAnsi"/>
          <w:sz w:val="22"/>
        </w:rPr>
        <w:t xml:space="preserve">de cohortes de </w:t>
      </w:r>
      <w:proofErr w:type="spellStart"/>
      <w:r>
        <w:rPr>
          <w:rFonts w:asciiTheme="minorHAnsi" w:hAnsiTheme="minorHAnsi"/>
          <w:sz w:val="22"/>
        </w:rPr>
        <w:t>IeDEA</w:t>
      </w:r>
      <w:proofErr w:type="spellEnd"/>
      <w:r>
        <w:rPr>
          <w:rFonts w:asciiTheme="minorHAnsi" w:hAnsiTheme="minorHAnsi"/>
          <w:sz w:val="22"/>
        </w:rPr>
        <w:t xml:space="preserve">). En el caso de Asia y el Pacífico, por el contrario, aumentaron las tasas </w:t>
      </w:r>
      <w:r w:rsidR="004C34E7">
        <w:rPr>
          <w:rFonts w:asciiTheme="minorHAnsi" w:hAnsiTheme="minorHAnsi"/>
          <w:sz w:val="22"/>
        </w:rPr>
        <w:t>predeterminadas</w:t>
      </w:r>
      <w:r>
        <w:rPr>
          <w:rFonts w:asciiTheme="minorHAnsi" w:hAnsiTheme="minorHAnsi"/>
          <w:sz w:val="22"/>
        </w:rPr>
        <w:t xml:space="preserve">, de tal forma que estos dos grupos de países presentan ahora patrones de supervivencia similares en </w:t>
      </w:r>
      <w:proofErr w:type="spellStart"/>
      <w:r>
        <w:rPr>
          <w:rFonts w:asciiTheme="minorHAnsi" w:hAnsiTheme="minorHAnsi"/>
          <w:sz w:val="22"/>
        </w:rPr>
        <w:t>Spectrum</w:t>
      </w:r>
      <w:proofErr w:type="spellEnd"/>
      <w:r>
        <w:rPr>
          <w:rFonts w:asciiTheme="minorHAnsi" w:hAnsiTheme="minorHAnsi"/>
          <w:sz w:val="22"/>
        </w:rPr>
        <w:t xml:space="preserve">. </w:t>
      </w:r>
    </w:p>
    <w:p w14:paraId="641324F9" w14:textId="4B10AC3B" w:rsidR="006E2C6B" w:rsidRPr="00300B87" w:rsidRDefault="006E2C6B" w:rsidP="006E2C6B">
      <w:pPr>
        <w:pStyle w:val="Heading3"/>
        <w:rPr>
          <w:rFonts w:asciiTheme="minorHAnsi" w:hAnsiTheme="minorHAnsi" w:cstheme="minorHAnsi"/>
          <w:sz w:val="22"/>
          <w:szCs w:val="22"/>
        </w:rPr>
      </w:pPr>
      <w:bookmarkStart w:id="13" w:name="_Toc2103641847"/>
      <w:bookmarkStart w:id="14" w:name="_Toc667234605"/>
      <w:bookmarkStart w:id="15" w:name="_Toc120528415"/>
      <w:r>
        <w:rPr>
          <w:rFonts w:asciiTheme="minorHAnsi" w:hAnsiTheme="minorHAnsi"/>
          <w:sz w:val="22"/>
        </w:rPr>
        <w:lastRenderedPageBreak/>
        <w:t>CSAVR</w:t>
      </w:r>
      <w:bookmarkEnd w:id="13"/>
      <w:bookmarkEnd w:id="14"/>
      <w:bookmarkEnd w:id="15"/>
    </w:p>
    <w:p w14:paraId="4D7E3E38" w14:textId="77777777" w:rsidR="006E2C6B" w:rsidRPr="00300B87" w:rsidRDefault="006E2C6B" w:rsidP="006E2C6B">
      <w:pPr>
        <w:spacing w:after="160" w:line="259" w:lineRule="auto"/>
        <w:rPr>
          <w:rFonts w:asciiTheme="minorHAnsi" w:hAnsiTheme="minorHAnsi" w:cstheme="minorHAnsi"/>
          <w:sz w:val="22"/>
          <w:szCs w:val="22"/>
        </w:rPr>
      </w:pPr>
      <w:r>
        <w:rPr>
          <w:rFonts w:asciiTheme="minorHAnsi" w:hAnsiTheme="minorHAnsi"/>
          <w:sz w:val="22"/>
        </w:rPr>
        <w:t xml:space="preserve">Se ha suprimido la tabla de diagnósticos de inmigrantes. Los usuarios deben incluir los </w:t>
      </w:r>
      <w:r>
        <w:rPr>
          <w:rFonts w:asciiTheme="minorHAnsi" w:hAnsiTheme="minorHAnsi"/>
          <w:i/>
          <w:sz w:val="22"/>
        </w:rPr>
        <w:t>nuevos</w:t>
      </w:r>
      <w:r>
        <w:rPr>
          <w:rFonts w:asciiTheme="minorHAnsi" w:hAnsiTheme="minorHAnsi"/>
          <w:sz w:val="22"/>
        </w:rPr>
        <w:t xml:space="preserve"> diagnósticos de inmigrantes en la tabla de nuevos diagnósticos de CSAVR; y los inmigrantes </w:t>
      </w:r>
      <w:r>
        <w:rPr>
          <w:rFonts w:asciiTheme="minorHAnsi" w:hAnsiTheme="minorHAnsi"/>
          <w:i/>
          <w:sz w:val="22"/>
        </w:rPr>
        <w:t>previamente conocidos (ya diagnosticados</w:t>
      </w:r>
      <w:r>
        <w:rPr>
          <w:rFonts w:asciiTheme="minorHAnsi" w:hAnsiTheme="minorHAnsi"/>
          <w:sz w:val="22"/>
        </w:rPr>
        <w:t>) en AIM &gt; incidencia &gt; VIH + inmigrantes por edad.</w:t>
      </w:r>
    </w:p>
    <w:p w14:paraId="7F25DB68" w14:textId="602214B6" w:rsidR="006E2C6B" w:rsidRPr="00300B87" w:rsidRDefault="006E2C6B" w:rsidP="006E2C6B">
      <w:pPr>
        <w:pStyle w:val="Heading3"/>
        <w:rPr>
          <w:rFonts w:asciiTheme="minorHAnsi" w:hAnsiTheme="minorHAnsi" w:cstheme="minorHAnsi"/>
          <w:sz w:val="22"/>
          <w:szCs w:val="22"/>
        </w:rPr>
      </w:pPr>
      <w:bookmarkStart w:id="16" w:name="_Toc1126031762"/>
      <w:bookmarkStart w:id="17" w:name="_Toc1877505635"/>
      <w:bookmarkStart w:id="18" w:name="_Toc120528416"/>
      <w:r>
        <w:rPr>
          <w:rFonts w:asciiTheme="minorHAnsi" w:hAnsiTheme="minorHAnsi"/>
          <w:sz w:val="22"/>
        </w:rPr>
        <w:t>AIM, Resultados</w:t>
      </w:r>
      <w:bookmarkEnd w:id="16"/>
      <w:bookmarkEnd w:id="17"/>
      <w:bookmarkEnd w:id="18"/>
    </w:p>
    <w:p w14:paraId="6A5F28A7" w14:textId="7F28AF27" w:rsidR="006E2C6B" w:rsidRPr="00300B87" w:rsidRDefault="006E2C6B" w:rsidP="006E2C6B">
      <w:pPr>
        <w:spacing w:after="160" w:line="259" w:lineRule="auto"/>
        <w:rPr>
          <w:rFonts w:asciiTheme="minorHAnsi" w:hAnsiTheme="minorHAnsi" w:cstheme="minorHAnsi"/>
          <w:sz w:val="22"/>
          <w:szCs w:val="22"/>
        </w:rPr>
      </w:pPr>
      <w:r>
        <w:rPr>
          <w:rFonts w:asciiTheme="minorHAnsi" w:hAnsiTheme="minorHAnsi"/>
          <w:sz w:val="22"/>
        </w:rPr>
        <w:t xml:space="preserve">Un nuevo resultado es Migrantes VIH+ netos: este resultado muestra la cifra anual de inmigrantes seropositivos que entran en el país. Se basa en las cifras introducidas por el usuario para cualquier año, y en la migración neta calculada (suponiendo que la prevalencia del VIH en todas las edades es igual entre no migrantes, inmigrantes y emigrantes) para los demás años. El resultado (en Población total) sirve para comprobar si los cálculos de </w:t>
      </w:r>
      <w:proofErr w:type="spellStart"/>
      <w:r>
        <w:rPr>
          <w:rFonts w:asciiTheme="minorHAnsi" w:hAnsiTheme="minorHAnsi"/>
          <w:sz w:val="22"/>
        </w:rPr>
        <w:t>DemProj</w:t>
      </w:r>
      <w:proofErr w:type="spellEnd"/>
      <w:r>
        <w:rPr>
          <w:rFonts w:asciiTheme="minorHAnsi" w:hAnsiTheme="minorHAnsi"/>
          <w:sz w:val="22"/>
        </w:rPr>
        <w:t xml:space="preserve"> y AIM junto con los datos de inmigrantes introducidos en AIM producen una serie temporal razonable de inmigrantes que viven con el VIH, que aumentan las nuevas infecciones que se estima que se han producido en el país para producir la estimación nacional de personas que viven con</w:t>
      </w:r>
      <w:r w:rsidR="00236800">
        <w:rPr>
          <w:rFonts w:asciiTheme="minorHAnsi" w:hAnsiTheme="minorHAnsi"/>
          <w:sz w:val="22"/>
        </w:rPr>
        <w:t xml:space="preserve"> </w:t>
      </w:r>
      <w:r>
        <w:rPr>
          <w:rFonts w:asciiTheme="minorHAnsi" w:hAnsiTheme="minorHAnsi"/>
          <w:sz w:val="22"/>
        </w:rPr>
        <w:t>el VIH.</w:t>
      </w:r>
    </w:p>
    <w:p w14:paraId="5FA782E1" w14:textId="7D51BAC2" w:rsidR="006E2C6B" w:rsidRPr="00300B87" w:rsidRDefault="006E2C6B" w:rsidP="006E2C6B">
      <w:pPr>
        <w:pStyle w:val="Heading3"/>
        <w:rPr>
          <w:rFonts w:asciiTheme="minorHAnsi" w:hAnsiTheme="minorHAnsi" w:cstheme="minorHAnsi"/>
          <w:sz w:val="22"/>
          <w:szCs w:val="22"/>
        </w:rPr>
      </w:pPr>
      <w:bookmarkStart w:id="19" w:name="_Toc1348778623"/>
      <w:bookmarkStart w:id="20" w:name="_Toc232672340"/>
      <w:bookmarkStart w:id="21" w:name="_Toc120528417"/>
      <w:r>
        <w:rPr>
          <w:rFonts w:asciiTheme="minorHAnsi" w:hAnsiTheme="minorHAnsi"/>
          <w:sz w:val="22"/>
        </w:rPr>
        <w:t>AIM, Validación</w:t>
      </w:r>
      <w:bookmarkEnd w:id="19"/>
      <w:bookmarkEnd w:id="20"/>
      <w:bookmarkEnd w:id="21"/>
    </w:p>
    <w:p w14:paraId="3854E760" w14:textId="77777777" w:rsidR="006E2C6B" w:rsidRPr="00300B87" w:rsidRDefault="006E2C6B" w:rsidP="006E2C6B">
      <w:pPr>
        <w:spacing w:after="160" w:line="259" w:lineRule="auto"/>
        <w:rPr>
          <w:rFonts w:asciiTheme="minorHAnsi" w:hAnsiTheme="minorHAnsi" w:cstheme="minorHAnsi"/>
          <w:sz w:val="22"/>
          <w:szCs w:val="22"/>
        </w:rPr>
      </w:pPr>
      <w:r>
        <w:rPr>
          <w:rFonts w:asciiTheme="minorHAnsi" w:hAnsiTheme="minorHAnsi"/>
          <w:sz w:val="22"/>
        </w:rPr>
        <w:t>Hay dos nuevas pantallas de validación:</w:t>
      </w:r>
    </w:p>
    <w:p w14:paraId="2C3D2E76" w14:textId="2EFF83A3" w:rsidR="006E2C6B" w:rsidRPr="00300B87" w:rsidRDefault="006E2C6B" w:rsidP="006E2C6B">
      <w:pPr>
        <w:spacing w:after="160" w:line="259" w:lineRule="auto"/>
        <w:rPr>
          <w:rFonts w:asciiTheme="minorHAnsi" w:hAnsiTheme="minorHAnsi" w:cstheme="minorHAnsi"/>
          <w:sz w:val="22"/>
          <w:szCs w:val="22"/>
        </w:rPr>
      </w:pPr>
      <w:r>
        <w:rPr>
          <w:rFonts w:asciiTheme="minorHAnsi" w:hAnsiTheme="minorHAnsi"/>
          <w:b/>
          <w:sz w:val="22"/>
        </w:rPr>
        <w:t>Cascada de iniciación y permanencia en el TAR:</w:t>
      </w:r>
      <w:r>
        <w:rPr>
          <w:rFonts w:asciiTheme="minorHAnsi" w:hAnsiTheme="minorHAnsi"/>
          <w:sz w:val="22"/>
        </w:rPr>
        <w:t xml:space="preserve"> Esta tabla visualiza la cascada de cifras de TAR en adultos (</w:t>
      </w:r>
      <w:r w:rsidR="00FA665D">
        <w:rPr>
          <w:rFonts w:asciiTheme="minorHAnsi" w:hAnsiTheme="minorHAnsi"/>
          <w:sz w:val="22"/>
        </w:rPr>
        <w:t xml:space="preserve">casos nuevos, retención </w:t>
      </w:r>
      <w:r>
        <w:rPr>
          <w:rFonts w:asciiTheme="minorHAnsi" w:hAnsiTheme="minorHAnsi"/>
          <w:sz w:val="22"/>
        </w:rPr>
        <w:t xml:space="preserve">/interrupción, reiniciaciones, fallecimientos) en una visualización de «cascada», de 2021 a 2022. La pantalla permite comparar los datos del programa que introduzca con la estimación de </w:t>
      </w:r>
      <w:proofErr w:type="spellStart"/>
      <w:r>
        <w:rPr>
          <w:rFonts w:asciiTheme="minorHAnsi" w:hAnsiTheme="minorHAnsi"/>
          <w:sz w:val="22"/>
        </w:rPr>
        <w:t>Spectrum</w:t>
      </w:r>
      <w:proofErr w:type="spellEnd"/>
      <w:r>
        <w:rPr>
          <w:rFonts w:asciiTheme="minorHAnsi" w:hAnsiTheme="minorHAnsi"/>
          <w:sz w:val="22"/>
        </w:rPr>
        <w:t xml:space="preserve">. La cascada de </w:t>
      </w:r>
      <w:proofErr w:type="spellStart"/>
      <w:r>
        <w:rPr>
          <w:rFonts w:asciiTheme="minorHAnsi" w:hAnsiTheme="minorHAnsi"/>
          <w:sz w:val="22"/>
        </w:rPr>
        <w:t>Spectrum</w:t>
      </w:r>
      <w:proofErr w:type="spellEnd"/>
      <w:r>
        <w:rPr>
          <w:rFonts w:asciiTheme="minorHAnsi" w:hAnsiTheme="minorHAnsi"/>
          <w:sz w:val="22"/>
        </w:rPr>
        <w:t xml:space="preserve"> se basa en las cifras anuales de TAR, las tasas de pérdida de seguimiento y la mortalidad estimada entre las personas que reciben TAR. Deben introducirse los datos del programa para cada uno de estos componentes, además de los cambios en las cifras de TAR debido a reinicios y cambios en el número de centros que informan sobre TAR.</w:t>
      </w:r>
    </w:p>
    <w:p w14:paraId="422C1D83" w14:textId="1B69C302" w:rsidR="006E2C6B" w:rsidRPr="00300B87" w:rsidRDefault="006E2C6B" w:rsidP="006E2C6B">
      <w:pPr>
        <w:spacing w:after="160" w:line="259" w:lineRule="auto"/>
        <w:rPr>
          <w:rFonts w:asciiTheme="minorHAnsi" w:hAnsiTheme="minorHAnsi" w:cstheme="minorHAnsi"/>
          <w:sz w:val="22"/>
          <w:szCs w:val="22"/>
        </w:rPr>
      </w:pPr>
      <w:r>
        <w:rPr>
          <w:rFonts w:asciiTheme="minorHAnsi" w:hAnsiTheme="minorHAnsi"/>
          <w:b/>
          <w:sz w:val="22"/>
        </w:rPr>
        <w:t>Muertes por todas las causas entre las personas que viven con VIH en TAR</w:t>
      </w:r>
      <w:r>
        <w:rPr>
          <w:rFonts w:asciiTheme="minorHAnsi" w:hAnsiTheme="minorHAnsi"/>
          <w:sz w:val="22"/>
        </w:rPr>
        <w:t>: Esto complementa los productos existentes en el menú de Resultados (muertes por VIH/SIDA y muertes no relacionadas con el VIH/SIDA entre todas las personas que viven</w:t>
      </w:r>
      <w:r w:rsidR="00C41AE3">
        <w:rPr>
          <w:rFonts w:asciiTheme="minorHAnsi" w:hAnsiTheme="minorHAnsi"/>
          <w:sz w:val="22"/>
        </w:rPr>
        <w:t xml:space="preserve"> </w:t>
      </w:r>
      <w:r>
        <w:rPr>
          <w:rFonts w:asciiTheme="minorHAnsi" w:hAnsiTheme="minorHAnsi"/>
          <w:sz w:val="22"/>
        </w:rPr>
        <w:t>con el VIH o por separado para las que reciben y las que no reciben TAR). Se anima a los usuarios a comparar cualquiera de los indicadores, o ambos, con los datos disponibles del programa sobre muertes entre las personas que reciben TAR.</w:t>
      </w:r>
    </w:p>
    <w:p w14:paraId="317510B8" w14:textId="77777777" w:rsidR="006E2C6B" w:rsidRPr="00C41AE3" w:rsidRDefault="006E2C6B" w:rsidP="006E2C6B">
      <w:pPr>
        <w:spacing w:after="160" w:line="259" w:lineRule="auto"/>
        <w:rPr>
          <w:rFonts w:asciiTheme="minorHAnsi" w:hAnsiTheme="minorHAnsi" w:cstheme="minorHAnsi"/>
          <w:sz w:val="22"/>
          <w:szCs w:val="22"/>
        </w:rPr>
      </w:pPr>
    </w:p>
    <w:p w14:paraId="730F2C6C" w14:textId="2F8FAB3B" w:rsidR="006E2C6B" w:rsidRPr="00300B87" w:rsidRDefault="006E2C6B" w:rsidP="006E2C6B">
      <w:pPr>
        <w:spacing w:after="160" w:line="259" w:lineRule="auto"/>
        <w:rPr>
          <w:rStyle w:val="selectable-text"/>
          <w:rFonts w:asciiTheme="minorHAnsi" w:hAnsiTheme="minorHAnsi" w:cstheme="minorHAnsi"/>
          <w:i/>
          <w:iCs/>
          <w:sz w:val="22"/>
          <w:szCs w:val="22"/>
        </w:rPr>
      </w:pPr>
      <w:r>
        <w:rPr>
          <w:rFonts w:asciiTheme="minorHAnsi" w:hAnsiTheme="minorHAnsi"/>
          <w:sz w:val="22"/>
        </w:rPr>
        <w:t>El resumen anterior no incluye las actualizaciones de otras herramientas de modelización, entre ellas:</w:t>
      </w:r>
      <w:r>
        <w:rPr>
          <w:rFonts w:asciiTheme="minorHAnsi" w:hAnsiTheme="minorHAnsi"/>
          <w:sz w:val="22"/>
        </w:rPr>
        <w:br/>
      </w:r>
      <w:r>
        <w:rPr>
          <w:rFonts w:asciiTheme="minorHAnsi" w:hAnsiTheme="minorHAnsi"/>
          <w:i/>
          <w:sz w:val="22"/>
        </w:rPr>
        <w:t>AEM, Shiny90, Naomi y el cuaderno de trabajo de Poblaciones clave</w:t>
      </w:r>
      <w:r>
        <w:rPr>
          <w:rFonts w:asciiTheme="minorHAnsi" w:hAnsiTheme="minorHAnsi"/>
          <w:sz w:val="22"/>
        </w:rPr>
        <w:t xml:space="preserve">. </w:t>
      </w:r>
      <w:r>
        <w:rPr>
          <w:rFonts w:asciiTheme="minorHAnsi" w:hAnsiTheme="minorHAnsi"/>
          <w:sz w:val="22"/>
        </w:rPr>
        <w:br/>
        <w:t>Se dispone de directrices independientes para estas herramientas.</w:t>
      </w:r>
    </w:p>
    <w:p w14:paraId="5B853170" w14:textId="77777777" w:rsidR="00543317" w:rsidRPr="00300B87" w:rsidRDefault="00543317">
      <w:pPr>
        <w:rPr>
          <w:rFonts w:asciiTheme="minorHAnsi" w:hAnsiTheme="minorHAnsi" w:cstheme="minorHAnsi"/>
          <w:sz w:val="22"/>
          <w:szCs w:val="22"/>
        </w:rPr>
      </w:pPr>
    </w:p>
    <w:sectPr w:rsidR="00543317" w:rsidRPr="00300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6B"/>
    <w:rsid w:val="000A1ED9"/>
    <w:rsid w:val="001609DF"/>
    <w:rsid w:val="00236800"/>
    <w:rsid w:val="00294492"/>
    <w:rsid w:val="00300B87"/>
    <w:rsid w:val="00304614"/>
    <w:rsid w:val="00313E10"/>
    <w:rsid w:val="00347A8A"/>
    <w:rsid w:val="003F1DD8"/>
    <w:rsid w:val="0047792F"/>
    <w:rsid w:val="00493D9E"/>
    <w:rsid w:val="004C34E7"/>
    <w:rsid w:val="004D1885"/>
    <w:rsid w:val="00543317"/>
    <w:rsid w:val="005E3EF0"/>
    <w:rsid w:val="006269B4"/>
    <w:rsid w:val="006E2C6B"/>
    <w:rsid w:val="007B6249"/>
    <w:rsid w:val="007E0815"/>
    <w:rsid w:val="008000D7"/>
    <w:rsid w:val="008A7CC1"/>
    <w:rsid w:val="008C3899"/>
    <w:rsid w:val="00952824"/>
    <w:rsid w:val="00A314A5"/>
    <w:rsid w:val="00AB2D3D"/>
    <w:rsid w:val="00AD7F1C"/>
    <w:rsid w:val="00B20FF8"/>
    <w:rsid w:val="00B46819"/>
    <w:rsid w:val="00B479CB"/>
    <w:rsid w:val="00B76C13"/>
    <w:rsid w:val="00BA16CB"/>
    <w:rsid w:val="00C20A68"/>
    <w:rsid w:val="00C41AE3"/>
    <w:rsid w:val="00DA77D5"/>
    <w:rsid w:val="00E74832"/>
    <w:rsid w:val="00F30BD1"/>
    <w:rsid w:val="00F53952"/>
    <w:rsid w:val="00FA66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E460"/>
  <w15:chartTrackingRefBased/>
  <w15:docId w15:val="{5FB30AD8-6767-4BAF-A30C-A76F9FBD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6B"/>
    <w:pPr>
      <w:tabs>
        <w:tab w:val="left" w:pos="170"/>
      </w:tabs>
      <w:spacing w:after="0" w:line="280" w:lineRule="atLeast"/>
    </w:pPr>
    <w:rPr>
      <w:rFonts w:ascii="Times New Roman" w:eastAsia="Cambria" w:hAnsi="Times New Roman" w:cs="Times New Roman"/>
      <w:sz w:val="20"/>
      <w:szCs w:val="24"/>
    </w:rPr>
  </w:style>
  <w:style w:type="paragraph" w:styleId="Heading3">
    <w:name w:val="heading 3"/>
    <w:basedOn w:val="Normal"/>
    <w:next w:val="Normal"/>
    <w:link w:val="Heading3Char"/>
    <w:unhideWhenUsed/>
    <w:qFormat/>
    <w:rsid w:val="006E2C6B"/>
    <w:pPr>
      <w:keepNext/>
      <w:keepLines/>
      <w:outlineLvl w:val="2"/>
    </w:pPr>
    <w:rPr>
      <w:rFonts w:ascii="Arial" w:eastAsia="Times New Roman" w:hAnsi="Arial"/>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2C6B"/>
    <w:rPr>
      <w:rFonts w:ascii="Arial" w:eastAsia="Times New Roman" w:hAnsi="Arial" w:cs="Times New Roman"/>
      <w:b/>
      <w:bCs/>
      <w:color w:val="00B0F0"/>
      <w:sz w:val="20"/>
      <w:szCs w:val="24"/>
      <w:lang w:val="es-ES"/>
    </w:rPr>
  </w:style>
  <w:style w:type="paragraph" w:customStyle="1" w:styleId="NewBody">
    <w:name w:val="New Body"/>
    <w:basedOn w:val="Normal"/>
    <w:qFormat/>
    <w:rsid w:val="006E2C6B"/>
    <w:pPr>
      <w:tabs>
        <w:tab w:val="clear" w:pos="170"/>
      </w:tabs>
      <w:suppressAutoHyphens/>
      <w:autoSpaceDE w:val="0"/>
      <w:autoSpaceDN w:val="0"/>
      <w:adjustRightInd w:val="0"/>
      <w:spacing w:after="120" w:line="260" w:lineRule="atLeast"/>
      <w:textAlignment w:val="center"/>
    </w:pPr>
    <w:rPr>
      <w:rFonts w:asciiTheme="minorHAnsi" w:hAnsiTheme="minorHAnsi" w:cs="Arial"/>
      <w:color w:val="000000"/>
      <w:sz w:val="22"/>
      <w:szCs w:val="20"/>
    </w:rPr>
  </w:style>
  <w:style w:type="character" w:customStyle="1" w:styleId="selectable-text">
    <w:name w:val="selectable-text"/>
    <w:basedOn w:val="DefaultParagraphFont"/>
    <w:rsid w:val="006E2C6B"/>
  </w:style>
  <w:style w:type="character" w:styleId="CommentReference">
    <w:name w:val="annotation reference"/>
    <w:basedOn w:val="DefaultParagraphFont"/>
    <w:uiPriority w:val="99"/>
    <w:semiHidden/>
    <w:unhideWhenUsed/>
    <w:rsid w:val="008000D7"/>
    <w:rPr>
      <w:sz w:val="16"/>
      <w:szCs w:val="16"/>
    </w:rPr>
  </w:style>
  <w:style w:type="paragraph" w:styleId="CommentText">
    <w:name w:val="annotation text"/>
    <w:basedOn w:val="Normal"/>
    <w:link w:val="CommentTextChar"/>
    <w:uiPriority w:val="99"/>
    <w:unhideWhenUsed/>
    <w:rsid w:val="008000D7"/>
    <w:pPr>
      <w:spacing w:line="240" w:lineRule="auto"/>
    </w:pPr>
    <w:rPr>
      <w:szCs w:val="20"/>
    </w:rPr>
  </w:style>
  <w:style w:type="character" w:customStyle="1" w:styleId="CommentTextChar">
    <w:name w:val="Comment Text Char"/>
    <w:basedOn w:val="DefaultParagraphFont"/>
    <w:link w:val="CommentText"/>
    <w:uiPriority w:val="99"/>
    <w:rsid w:val="008000D7"/>
    <w:rPr>
      <w:rFonts w:ascii="Times New Roman" w:eastAsia="Cambria"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8000D7"/>
    <w:rPr>
      <w:b/>
      <w:bCs/>
    </w:rPr>
  </w:style>
  <w:style w:type="character" w:customStyle="1" w:styleId="CommentSubjectChar">
    <w:name w:val="Comment Subject Char"/>
    <w:basedOn w:val="CommentTextChar"/>
    <w:link w:val="CommentSubject"/>
    <w:uiPriority w:val="99"/>
    <w:semiHidden/>
    <w:rsid w:val="008000D7"/>
    <w:rPr>
      <w:rFonts w:ascii="Times New Roman" w:eastAsia="Cambria" w:hAnsi="Times New Roman" w:cs="Times New Roman"/>
      <w:b/>
      <w:bCs/>
      <w:sz w:val="20"/>
      <w:szCs w:val="20"/>
      <w:lang w:val="es-ES"/>
    </w:rPr>
  </w:style>
  <w:style w:type="character" w:styleId="Hyperlink">
    <w:name w:val="Hyperlink"/>
    <w:basedOn w:val="DefaultParagraphFont"/>
    <w:uiPriority w:val="99"/>
    <w:unhideWhenUsed/>
    <w:rsid w:val="008000D7"/>
    <w:rPr>
      <w:color w:val="0563C1" w:themeColor="hyperlink"/>
      <w:u w:val="single"/>
    </w:rPr>
  </w:style>
  <w:style w:type="character" w:styleId="UnresolvedMention">
    <w:name w:val="Unresolved Mention"/>
    <w:basedOn w:val="DefaultParagraphFont"/>
    <w:uiPriority w:val="99"/>
    <w:semiHidden/>
    <w:unhideWhenUsed/>
    <w:rsid w:val="008000D7"/>
    <w:rPr>
      <w:color w:val="605E5C"/>
      <w:shd w:val="clear" w:color="auto" w:fill="E1DFDD"/>
    </w:rPr>
  </w:style>
  <w:style w:type="paragraph" w:styleId="Revision">
    <w:name w:val="Revision"/>
    <w:hidden/>
    <w:uiPriority w:val="99"/>
    <w:semiHidden/>
    <w:rsid w:val="00B46819"/>
    <w:pPr>
      <w:spacing w:after="0" w:line="240" w:lineRule="auto"/>
    </w:pPr>
    <w:rPr>
      <w:rFonts w:ascii="Times New Roman" w:eastAsia="Cambria"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3E641F549574BB805BD9C73365D4F" ma:contentTypeVersion="17" ma:contentTypeDescription="Create a new document." ma:contentTypeScope="" ma:versionID="8482625136bccad5fea5e68a871e4699">
  <xsd:schema xmlns:xsd="http://www.w3.org/2001/XMLSchema" xmlns:xs="http://www.w3.org/2001/XMLSchema" xmlns:p="http://schemas.microsoft.com/office/2006/metadata/properties" xmlns:ns2="288ef829-98c5-46d1-83dc-c2ef7c814da2" xmlns:ns3="2ddeef39-65d3-4660-94f2-f063f949c57e" targetNamespace="http://schemas.microsoft.com/office/2006/metadata/properties" ma:root="true" ma:fieldsID="99cee5fdab9c537e456a0b77a5796a97" ns2:_="" ns3:_="">
    <xsd:import namespace="288ef829-98c5-46d1-83dc-c2ef7c814da2"/>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f829-98c5-46d1-83dc-c2ef7c81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08808e-a4ff-498b-8b44-8869f1dca9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142ec6-8224-48c2-babf-013e8b339833}" ma:internalName="TaxCatchAll" ma:showField="CatchAllData" ma:web="2ddeef39-65d3-4660-94f2-f063f949c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8ef829-98c5-46d1-83dc-c2ef7c814da2" xsi:nil="true"/>
    <TaxCatchAll xmlns="2ddeef39-65d3-4660-94f2-f063f949c57e" xsi:nil="true"/>
    <lcf76f155ced4ddcb4097134ff3c332f xmlns="288ef829-98c5-46d1-83dc-c2ef7c814d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28588C-22D0-4DCC-A799-E05C208D4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ef829-98c5-46d1-83dc-c2ef7c814da2"/>
    <ds:schemaRef ds:uri="2ddeef39-65d3-4660-94f2-f063f949c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81DA6-6177-4E5B-85B7-38C7DF7BF884}">
  <ds:schemaRefs>
    <ds:schemaRef ds:uri="http://schemas.microsoft.com/sharepoint/v3/contenttype/forms"/>
  </ds:schemaRefs>
</ds:datastoreItem>
</file>

<file path=customXml/itemProps3.xml><?xml version="1.0" encoding="utf-8"?>
<ds:datastoreItem xmlns:ds="http://schemas.openxmlformats.org/officeDocument/2006/customXml" ds:itemID="{EEDF91AC-F9B4-42AE-8D41-44269F4249F4}">
  <ds:schemaRefs>
    <ds:schemaRef ds:uri="http://schemas.microsoft.com/office/2006/metadata/properties"/>
    <ds:schemaRef ds:uri="http://schemas.microsoft.com/office/infopath/2007/PartnerControls"/>
    <ds:schemaRef ds:uri="288ef829-98c5-46d1-83dc-c2ef7c814da2"/>
    <ds:schemaRef ds:uri="2ddeef39-65d3-4660-94f2-f063f949c57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KORENROMP, Eline Louise</dc:creator>
  <cp:keywords/>
  <dc:description/>
  <cp:lastModifiedBy>RWODZI, Desire Tarwireyi</cp:lastModifiedBy>
  <cp:revision>3</cp:revision>
  <dcterms:created xsi:type="dcterms:W3CDTF">2023-05-05T08:11:00Z</dcterms:created>
  <dcterms:modified xsi:type="dcterms:W3CDTF">2023-05-05T08:12:00Z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0x0101006893E641F549574BB805BD9C73365D4F</vt:lpwstr>
  </property>
  <property fmtid="{D5CDD505-2E9C-101B-9397-08002B2CF9AE}" pid="3" name="MediaServiceImageTags">
    <vt:lpwstr/>
  </property>
</Properties>
</file>