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A9BD" w14:textId="31865CFC" w:rsidR="00900040" w:rsidRPr="0062053D" w:rsidRDefault="006B1066" w:rsidP="00780214">
      <w:pPr>
        <w:pStyle w:val="Heading1"/>
        <w:bidi/>
      </w:pPr>
      <w:r w:rsidRPr="0062053D">
        <w:rPr>
          <w:rtl/>
        </w:rPr>
        <w:t>تحديثات على برنامج Spectrum / AIM لجولة التقديرات لعام 2024</w:t>
      </w:r>
    </w:p>
    <w:p w14:paraId="6287EDEF" w14:textId="46678CD9" w:rsidR="00B229E3" w:rsidRPr="0062053D" w:rsidRDefault="00BD4E42" w:rsidP="00B229E3">
      <w:pPr>
        <w:bidi/>
        <w:rPr>
          <w:rtl/>
          <w:lang w:bidi="ar-LB"/>
        </w:rPr>
      </w:pPr>
      <w:r w:rsidRPr="0062053D">
        <w:rPr>
          <w:rtl/>
        </w:rPr>
        <w:t>الإصدار</w:t>
      </w:r>
      <w:r w:rsidR="0056488F" w:rsidRPr="0062053D">
        <w:t xml:space="preserve">20 </w:t>
      </w:r>
      <w:r w:rsidR="0056488F" w:rsidRPr="0062053D">
        <w:rPr>
          <w:rFonts w:hint="cs"/>
          <w:rtl/>
        </w:rPr>
        <w:t xml:space="preserve"> </w:t>
      </w:r>
      <w:r w:rsidR="009104E8" w:rsidRPr="0062053D">
        <w:rPr>
          <w:sz w:val="20"/>
          <w:szCs w:val="20"/>
          <w:rtl/>
        </w:rPr>
        <w:t>كانون الثاني/يناير</w:t>
      </w:r>
      <w:r w:rsidR="0056488F" w:rsidRPr="0062053D">
        <w:rPr>
          <w:rFonts w:hint="cs"/>
          <w:rtl/>
          <w:lang w:bidi="ar-LB"/>
        </w:rPr>
        <w:t>2024</w:t>
      </w:r>
    </w:p>
    <w:p w14:paraId="0BAC9F46" w14:textId="77777777" w:rsidR="00B07BDE" w:rsidRPr="0062053D" w:rsidRDefault="00B07BDE" w:rsidP="00B07BDE">
      <w:pPr>
        <w:pStyle w:val="Heading2"/>
        <w:bidi/>
      </w:pPr>
      <w:r w:rsidRPr="0062053D">
        <w:rPr>
          <w:rtl/>
        </w:rPr>
        <w:t>إدخال البيانات</w:t>
      </w:r>
    </w:p>
    <w:p w14:paraId="78670164" w14:textId="3AB4AA28" w:rsidR="00B07BDE" w:rsidRPr="0062053D" w:rsidRDefault="46F5DF56" w:rsidP="00B07BDE">
      <w:pPr>
        <w:pStyle w:val="ListParagraph"/>
        <w:numPr>
          <w:ilvl w:val="0"/>
          <w:numId w:val="2"/>
        </w:numPr>
        <w:bidi/>
      </w:pPr>
      <w:r w:rsidRPr="0062053D">
        <w:rPr>
          <w:b/>
          <w:bCs/>
          <w:rtl/>
        </w:rPr>
        <w:t>انقطاع العلاج</w:t>
      </w:r>
      <w:r w:rsidR="60328F84" w:rsidRPr="0062053D">
        <w:rPr>
          <w:rtl/>
        </w:rPr>
        <w:t xml:space="preserve">. ينصح المستخدمون الآن بإدخال معدلات انقطاع العلاج لجميع السنوات مع العلاج المضاد للفيروسات القهقرية. يحل "انقطاع العلاج" محل ما كان يسمى سابقا "فقدان المتابعة". وينبغي حساب المعدلات من بيانات البرامج الوطنية، إذا كانت موثوقة. </w:t>
      </w:r>
      <w:r w:rsidR="00B07BDE" w:rsidRPr="0062053D">
        <w:rPr>
          <w:rtl/>
        </w:rPr>
        <w:br/>
      </w:r>
      <w:r w:rsidR="3E2B5E74" w:rsidRPr="0062053D">
        <w:rPr>
          <w:rtl/>
        </w:rPr>
        <w:t>لسنوات بدون بيانات ، يوصى باعتماد معدلات افتراضية ، والتي أصبح لدى المحررين "علاج الأطفال" و "علاج البالغين" الآن أزرار بعنوان "تطبيق معدل الانقطاع الافتراضي". سيؤدي النقر فوق هذا الزر إلى إدراج معدل الانقطاع الافتراضي الموصى به لجميع السنوات: 5٪ سنويا لكل من البالغين والأطفال في جميع المناطق باستثناء البلدان المرتفعة الدخل ، حيث يكون المعدل الافتراضي 1.6٪.</w:t>
      </w:r>
      <w:r w:rsidR="00B07BDE" w:rsidRPr="0062053D">
        <w:rPr>
          <w:rtl/>
        </w:rPr>
        <w:br/>
      </w:r>
    </w:p>
    <w:p w14:paraId="314A062E" w14:textId="66E74947" w:rsidR="00451256" w:rsidRPr="0062053D" w:rsidRDefault="2B206F5C" w:rsidP="00AF03C0">
      <w:pPr>
        <w:pStyle w:val="ListParagraph"/>
        <w:numPr>
          <w:ilvl w:val="0"/>
          <w:numId w:val="2"/>
        </w:numPr>
        <w:bidi/>
      </w:pPr>
      <w:r w:rsidRPr="0062053D">
        <w:rPr>
          <w:b/>
          <w:bCs/>
          <w:rtl/>
        </w:rPr>
        <w:t>تم تحديث أنماط الرضاعة الطبيعية</w:t>
      </w:r>
      <w:r w:rsidR="326CA6BC" w:rsidRPr="0062053D">
        <w:rPr>
          <w:rtl/>
        </w:rPr>
        <w:t xml:space="preserve"> لتشمل أحدث بيانات المسح (ل 6 بلدان أفريقية جنوب الصحراء الكبرى). وسيؤدي ذلك إلى تحسن طفيف في تقديرات منع انتقال الإصابة من الأم إلى الطفل لجميع البلدان في جنوب أفريقيا وشرقها وغربها. يتم ذلك عن طريق اختيار قراءة بيانات المسح في AIM &gt; PMTCT &gt; الرضاعة الطبيعية.</w:t>
      </w:r>
    </w:p>
    <w:p w14:paraId="4D41CAD5" w14:textId="1434310A" w:rsidR="00AF03C0" w:rsidRPr="0062053D" w:rsidRDefault="00AF03C0" w:rsidP="00451256">
      <w:pPr>
        <w:pStyle w:val="ListParagraph"/>
        <w:bidi/>
        <w:ind w:left="360"/>
      </w:pPr>
      <w:r w:rsidRPr="0062053D">
        <w:rPr>
          <w:rtl/>
        </w:rPr>
        <w:t xml:space="preserve"> </w:t>
      </w:r>
    </w:p>
    <w:p w14:paraId="1BC43DD0" w14:textId="4DD35DAE" w:rsidR="00AF03C0" w:rsidRPr="0062053D" w:rsidRDefault="52A5F537" w:rsidP="00E16F4D">
      <w:pPr>
        <w:pStyle w:val="ListParagraph"/>
        <w:numPr>
          <w:ilvl w:val="0"/>
          <w:numId w:val="2"/>
        </w:numPr>
        <w:bidi/>
      </w:pPr>
      <w:r w:rsidRPr="0062053D">
        <w:rPr>
          <w:b/>
          <w:bCs/>
          <w:rtl/>
        </w:rPr>
        <w:t>معرفة الوضع للأطفال</w:t>
      </w:r>
      <w:r w:rsidR="540D5BE5" w:rsidRPr="0062053D">
        <w:rPr>
          <w:rtl/>
        </w:rPr>
        <w:t xml:space="preserve">. وبما أن المعلومات المتعلقة بنسبة الأطفال الذين يعرفون حالتهم شحيحة، فقد استخدم عدد الأطفال المشمولين بالعلاج المضاد للفيروسات القهقرية كبديل ولكن من المحتمل أن يكون أقل من الواقع. يوفر Spectrum الآن خيار تقدير عدد الأطفال المصابين بفيروس نقص المناعة البشرية </w:t>
      </w:r>
      <w:r w:rsidR="00337104" w:rsidRPr="0062053D">
        <w:rPr>
          <w:rtl/>
        </w:rPr>
        <w:t>الذين يعرفون حالتهم</w:t>
      </w:r>
      <w:r w:rsidR="540D5BE5" w:rsidRPr="0062053D">
        <w:rPr>
          <w:rtl/>
        </w:rPr>
        <w:t xml:space="preserve">. يتم حساب ذلك باستخدام عدد الأطفال </w:t>
      </w:r>
      <w:r w:rsidR="0044015F" w:rsidRPr="0062053D">
        <w:rPr>
          <w:rFonts w:hint="cs"/>
          <w:rtl/>
          <w:lang w:bidi="ar"/>
        </w:rPr>
        <w:t>الذين يتلقون</w:t>
      </w:r>
      <w:r w:rsidR="0044015F" w:rsidRPr="0062053D">
        <w:rPr>
          <w:lang w:bidi="ar"/>
        </w:rPr>
        <w:t xml:space="preserve"> </w:t>
      </w:r>
      <w:r w:rsidR="540D5BE5" w:rsidRPr="0062053D">
        <w:rPr>
          <w:rtl/>
        </w:rPr>
        <w:t xml:space="preserve">العلاج المضاد للفيروسات القهقرية (الذي تم إدخاله في محرر علاج الطفل) بالإضافة إلى العدد الذي سبق علاجه (المقدر باستخدام معدلات انقطاع العلاج في محرر علاج الطفل) </w:t>
      </w:r>
      <w:r w:rsidR="0044015F" w:rsidRPr="0062053D">
        <w:t xml:space="preserve"> </w:t>
      </w:r>
      <w:r w:rsidR="0044015F" w:rsidRPr="0062053D">
        <w:rPr>
          <w:rtl/>
        </w:rPr>
        <w:t xml:space="preserve">أيضا </w:t>
      </w:r>
      <w:r w:rsidR="540D5BE5" w:rsidRPr="0062053D">
        <w:rPr>
          <w:rtl/>
        </w:rPr>
        <w:t xml:space="preserve">مع مراعاة </w:t>
      </w:r>
      <w:r w:rsidR="0044015F" w:rsidRPr="0062053D">
        <w:rPr>
          <w:rFonts w:hint="cs"/>
          <w:rtl/>
        </w:rPr>
        <w:t>تقدم العمر خارج</w:t>
      </w:r>
      <w:r w:rsidR="540D5BE5" w:rsidRPr="0062053D">
        <w:rPr>
          <w:rtl/>
        </w:rPr>
        <w:t xml:space="preserve"> مجموعة الأطفال (0-14 سنة) والوفيات. انقر فوق الزر "حساب معرفة الطفل بالحالة" في محرر معرفة الحالة لاستخدام هذه الميزة الجديدة. </w:t>
      </w:r>
    </w:p>
    <w:p w14:paraId="65C36552" w14:textId="2A98A85C" w:rsidR="006B1066" w:rsidRPr="0062053D" w:rsidRDefault="24C55949" w:rsidP="006B1066">
      <w:pPr>
        <w:pStyle w:val="Heading2"/>
        <w:bidi/>
      </w:pPr>
      <w:r w:rsidRPr="0062053D">
        <w:rPr>
          <w:rtl/>
        </w:rPr>
        <w:t>المعلمات الافتراضية والأنماط الإقليمية</w:t>
      </w:r>
    </w:p>
    <w:p w14:paraId="1412EF75" w14:textId="0799D48F" w:rsidR="006B1066" w:rsidRPr="0062053D" w:rsidRDefault="006B1066" w:rsidP="00BB443F">
      <w:pPr>
        <w:pStyle w:val="ListParagraph"/>
        <w:numPr>
          <w:ilvl w:val="0"/>
          <w:numId w:val="2"/>
        </w:numPr>
        <w:bidi/>
      </w:pPr>
      <w:r w:rsidRPr="0062053D">
        <w:rPr>
          <w:b/>
          <w:bCs/>
          <w:rtl/>
        </w:rPr>
        <w:t>اتجاهات الوفيات على مضادات الفيروسات القهقرية</w:t>
      </w:r>
      <w:r w:rsidR="00A27FEA" w:rsidRPr="0062053D">
        <w:rPr>
          <w:rtl/>
        </w:rPr>
        <w:t>. تم تحديث الاتجاه الزمني في وفيات البالغين على العلاج المضاد للفيروسات القهقرية لمدة أطول من 12 شهرا ليظل ثابتا بعد عام 2018. في السابق كان من المتوقع أن يستمر في الانخفاض حتى عام 2021 (على افتراض أن تحسين أنظمة مضادات الفيروسات القهقرية استمر في زيادة البقاء على قيد الحياة). وينطوي التغيير على تقديرات أعلى قليلا للأشخاص المتعايشين مع فيروس نقص المناعة البشرية و/أو معدل الإصابة به في بعض الأماكن.</w:t>
      </w:r>
      <w:r w:rsidRPr="0062053D">
        <w:rPr>
          <w:rtl/>
        </w:rPr>
        <w:br/>
      </w:r>
    </w:p>
    <w:p w14:paraId="26B6FBE6" w14:textId="1E8CABD4" w:rsidR="00196F4E" w:rsidRPr="0062053D" w:rsidRDefault="2B4291E2" w:rsidP="00BB443F">
      <w:pPr>
        <w:pStyle w:val="ListParagraph"/>
        <w:numPr>
          <w:ilvl w:val="0"/>
          <w:numId w:val="2"/>
        </w:numPr>
        <w:bidi/>
      </w:pPr>
      <w:r w:rsidRPr="00A507AD">
        <w:rPr>
          <w:b/>
          <w:bCs/>
          <w:rtl/>
        </w:rPr>
        <w:t xml:space="preserve">الأنماط الإقليمية للوفيات على مضادات الفيروسات القهقرية. </w:t>
      </w:r>
      <w:r w:rsidR="00B07BDE" w:rsidRPr="00A507AD">
        <w:rPr>
          <w:rtl/>
        </w:rPr>
        <w:t xml:space="preserve">تم تحديث معدلات الوفيات </w:t>
      </w:r>
      <w:r w:rsidR="000821BD" w:rsidRPr="00A507AD">
        <w:rPr>
          <w:rFonts w:hint="cs"/>
          <w:rtl/>
          <w:lang w:bidi="ar-LB"/>
        </w:rPr>
        <w:t xml:space="preserve">لمتلقي </w:t>
      </w:r>
      <w:r w:rsidR="00B07BDE" w:rsidRPr="00A507AD">
        <w:rPr>
          <w:rtl/>
        </w:rPr>
        <w:t xml:space="preserve">العلاج المضاد للفيروسات القهقرية في منطقتي آسيا والمحيط الهادئ وأمريكا اللاتينية </w:t>
      </w:r>
      <w:r w:rsidR="00906058" w:rsidRPr="00A507AD">
        <w:rPr>
          <w:rtl/>
        </w:rPr>
        <w:t>و</w:t>
      </w:r>
      <w:r w:rsidR="00906058" w:rsidRPr="00A507AD">
        <w:rPr>
          <w:rFonts w:cs="Arial"/>
          <w:rtl/>
        </w:rPr>
        <w:t>مناطق الكاريبي</w:t>
      </w:r>
      <w:r w:rsidR="00906058" w:rsidRPr="00A507AD">
        <w:rPr>
          <w:rFonts w:cs="Arial"/>
        </w:rPr>
        <w:t xml:space="preserve"> </w:t>
      </w:r>
      <w:r w:rsidR="00B07BDE" w:rsidRPr="00A507AD">
        <w:rPr>
          <w:rtl/>
        </w:rPr>
        <w:t>بناء على تحليل أجراه اتحاد IeDEA، مما يعكس آثار النظم المحسنة لمضادات الفيروسات القهقرية. ونظرا لعدم توافر بيانات جديدة من أوروبا الشرقية أو الشرق الأوسط وشمال أفريقيا، فقد تم تحديث أنماط هذه المناطق</w:t>
      </w:r>
      <w:r w:rsidR="00B07BDE" w:rsidRPr="0062053D">
        <w:rPr>
          <w:rtl/>
        </w:rPr>
        <w:t xml:space="preserve"> لتتناسب مع المناطق الوكيلة لها: أمريكا اللاتينية لأوروبا الشرقية وشرق أفريقيا بالنسبة للشرق الأوسط وشمال أفريقيا. </w:t>
      </w:r>
      <w:r w:rsidRPr="0062053D">
        <w:rPr>
          <w:rtl/>
        </w:rPr>
        <w:br/>
      </w:r>
    </w:p>
    <w:p w14:paraId="77E45F21" w14:textId="04DAF276" w:rsidR="006448B0" w:rsidRPr="0062053D" w:rsidRDefault="006448B0" w:rsidP="005D4AC7">
      <w:pPr>
        <w:pStyle w:val="Heading2"/>
        <w:bidi/>
      </w:pPr>
      <w:r w:rsidRPr="0062053D">
        <w:rPr>
          <w:rtl/>
        </w:rPr>
        <w:t>نماذج الحدوث</w:t>
      </w:r>
    </w:p>
    <w:p w14:paraId="3C1CE54F" w14:textId="575B854A" w:rsidR="006448B0" w:rsidRPr="0062053D" w:rsidRDefault="006448B0" w:rsidP="00BB443F">
      <w:pPr>
        <w:pStyle w:val="ListParagraph"/>
        <w:numPr>
          <w:ilvl w:val="0"/>
          <w:numId w:val="2"/>
        </w:numPr>
        <w:bidi/>
      </w:pPr>
      <w:r w:rsidRPr="0062053D">
        <w:rPr>
          <w:b/>
          <w:bCs/>
          <w:rtl/>
        </w:rPr>
        <w:t>خطوط CSAVR</w:t>
      </w:r>
      <w:r w:rsidR="005F107F" w:rsidRPr="0062053D">
        <w:rPr>
          <w:rtl/>
        </w:rPr>
        <w:t xml:space="preserve">. تمت إضافة خيار يسمح للمستخدم بتحديد ما إذا كان يجب أن يستخدم النموذج 3 أو 4 أو 5 عقدة في الشريحة. يبقى الافتراضي 5 ؛ ومن شأن عدد أقل من العقد أن يعطي منحنيات أكثر سلاسة وأكثر انبساطة، تكون أقل حساسية للقيم المتطرفة في البيانات، على سبيل المثال الانخفاضات المؤقتة في تقارير الحالات الأخيرة أثناء أزمات النظم الصحية. </w:t>
      </w:r>
      <w:r w:rsidRPr="0062053D">
        <w:rPr>
          <w:rtl/>
        </w:rPr>
        <w:br/>
      </w:r>
    </w:p>
    <w:p w14:paraId="37C1CE37" w14:textId="6D3C53AD" w:rsidR="006448B0" w:rsidRPr="0062053D" w:rsidRDefault="006448B0" w:rsidP="00BB443F">
      <w:pPr>
        <w:pStyle w:val="ListParagraph"/>
        <w:numPr>
          <w:ilvl w:val="0"/>
          <w:numId w:val="2"/>
        </w:numPr>
        <w:bidi/>
      </w:pPr>
      <w:r w:rsidRPr="0062053D">
        <w:rPr>
          <w:b/>
          <w:bCs/>
          <w:rtl/>
        </w:rPr>
        <w:t>قيود CSAVR على الأشخاص المتعايشين مع فيروس نقص المناعة البشرية</w:t>
      </w:r>
      <w:r w:rsidR="0096342D" w:rsidRPr="0062053D">
        <w:rPr>
          <w:rtl/>
        </w:rPr>
        <w:t xml:space="preserve">. وقد تم تحسين المركز لتقييد تقديره للأشخاص المصابين بفيروس العوز المناعي البشري ليكون على الأقل كبيرا مثل العدد المبلغ عنه في البرنامج بشأن العلاج المضاد للفيروسات القهقرية. وفي حالات استثنائية، يجوز للمستخدم تجاوز هذا القيد إذا اعتبرت بيانات العلاج المضاد للفيروسات القهقرية </w:t>
      </w:r>
      <w:r w:rsidR="0096342D" w:rsidRPr="0062053D">
        <w:rPr>
          <w:rtl/>
        </w:rPr>
        <w:lastRenderedPageBreak/>
        <w:t xml:space="preserve">للبرنامج غير موثوقة. </w:t>
      </w:r>
      <w:r w:rsidR="00F67433" w:rsidRPr="0062053D">
        <w:rPr>
          <w:rtl/>
        </w:rPr>
        <w:br/>
      </w:r>
    </w:p>
    <w:p w14:paraId="363A2681" w14:textId="118A4884" w:rsidR="006448B0" w:rsidRPr="0062053D" w:rsidRDefault="006448B0" w:rsidP="00BB443F">
      <w:pPr>
        <w:pStyle w:val="ListParagraph"/>
        <w:numPr>
          <w:ilvl w:val="0"/>
          <w:numId w:val="2"/>
        </w:numPr>
        <w:bidi/>
      </w:pPr>
      <w:r w:rsidRPr="0062053D">
        <w:rPr>
          <w:b/>
          <w:bCs/>
          <w:rtl/>
        </w:rPr>
        <w:t>CSAVR "تناسب جميع ا</w:t>
      </w:r>
      <w:r w:rsidR="00616E32" w:rsidRPr="0062053D">
        <w:rPr>
          <w:rFonts w:hint="cs"/>
          <w:b/>
          <w:bCs/>
          <w:rtl/>
        </w:rPr>
        <w:t>لنماذج</w:t>
      </w:r>
      <w:r w:rsidRPr="0062053D">
        <w:rPr>
          <w:b/>
          <w:bCs/>
          <w:rtl/>
        </w:rPr>
        <w:t>".</w:t>
      </w:r>
      <w:r w:rsidRPr="0062053D">
        <w:rPr>
          <w:rtl/>
        </w:rPr>
        <w:t xml:space="preserve"> يسمح الزر الجديد للمستخدم بملاءمة جميع</w:t>
      </w:r>
      <w:r w:rsidR="007003D1" w:rsidRPr="0062053D">
        <w:t xml:space="preserve"> </w:t>
      </w:r>
      <w:r w:rsidR="00CF3C5B" w:rsidRPr="0062053D">
        <w:rPr>
          <w:rFonts w:hint="cs"/>
          <w:rtl/>
        </w:rPr>
        <w:t>نماذج</w:t>
      </w:r>
      <w:r w:rsidRPr="0062053D">
        <w:rPr>
          <w:rtl/>
        </w:rPr>
        <w:t xml:space="preserve"> </w:t>
      </w:r>
      <w:r w:rsidR="007003D1" w:rsidRPr="0062053D">
        <w:rPr>
          <w:rFonts w:hint="cs"/>
          <w:rtl/>
          <w:lang w:bidi="ar-LB"/>
        </w:rPr>
        <w:t xml:space="preserve">الحدوث </w:t>
      </w:r>
      <w:r w:rsidR="0056488F" w:rsidRPr="0062053D">
        <w:rPr>
          <w:rFonts w:hint="cs"/>
          <w:rtl/>
        </w:rPr>
        <w:t xml:space="preserve">الستة </w:t>
      </w:r>
      <w:r w:rsidRPr="0062053D">
        <w:rPr>
          <w:rtl/>
        </w:rPr>
        <w:t>في نفس الوقت</w:t>
      </w:r>
      <w:r w:rsidR="00B104DD" w:rsidRPr="0062053D">
        <w:rPr>
          <w:rtl/>
        </w:rPr>
        <w:t>،</w:t>
      </w:r>
      <w:r w:rsidR="00B104DD" w:rsidRPr="0062053D">
        <w:rPr>
          <w:rFonts w:hint="cs"/>
          <w:rtl/>
        </w:rPr>
        <w:t xml:space="preserve"> </w:t>
      </w:r>
      <w:r w:rsidR="00B104DD" w:rsidRPr="0062053D">
        <w:rPr>
          <w:rtl/>
        </w:rPr>
        <w:t>،</w:t>
      </w:r>
      <w:r w:rsidR="00B104DD" w:rsidRPr="0062053D">
        <w:rPr>
          <w:rFonts w:hint="cs"/>
          <w:rtl/>
        </w:rPr>
        <w:t xml:space="preserve"> </w:t>
      </w:r>
      <w:r w:rsidR="00B104DD" w:rsidRPr="0062053D">
        <w:rPr>
          <w:rFonts w:cs="Arial"/>
          <w:rtl/>
        </w:rPr>
        <w:t xml:space="preserve">بما في ذلك خياري </w:t>
      </w:r>
      <w:r w:rsidR="00A20A5C" w:rsidRPr="0062053D">
        <w:rPr>
          <w:rFonts w:cs="Arial" w:hint="cs"/>
          <w:rtl/>
          <w:lang w:bidi="ar-LB"/>
        </w:rPr>
        <w:t>الخطوط</w:t>
      </w:r>
      <w:r w:rsidR="00A20A5C" w:rsidRPr="0062053D">
        <w:t xml:space="preserve"> </w:t>
      </w:r>
      <w:r w:rsidR="00B104DD" w:rsidRPr="0062053D">
        <w:rPr>
          <w:rFonts w:cs="Arial"/>
          <w:rtl/>
        </w:rPr>
        <w:t xml:space="preserve"> الجديدين.</w:t>
      </w:r>
      <w:r w:rsidRPr="0062053D">
        <w:rPr>
          <w:rtl/>
        </w:rPr>
        <w:br/>
      </w:r>
    </w:p>
    <w:p w14:paraId="27FDB258" w14:textId="528BA274" w:rsidR="005F107F" w:rsidRPr="0062053D" w:rsidRDefault="005F107F" w:rsidP="00BB443F">
      <w:pPr>
        <w:pStyle w:val="ListParagraph"/>
        <w:numPr>
          <w:ilvl w:val="0"/>
          <w:numId w:val="2"/>
        </w:numPr>
        <w:bidi/>
      </w:pPr>
      <w:r w:rsidRPr="0062053D">
        <w:rPr>
          <w:b/>
          <w:bCs/>
          <w:rtl/>
        </w:rPr>
        <w:t>ECDC.</w:t>
      </w:r>
      <w:r w:rsidR="001B39A2" w:rsidRPr="0062053D">
        <w:rPr>
          <w:rtl/>
        </w:rPr>
        <w:t xml:space="preserve"> يمكن ل Spectrum الآن قراءة مخرجات إصدار 2024 من منصة نمذجة ECDC. </w:t>
      </w:r>
    </w:p>
    <w:p w14:paraId="37FF4A3C" w14:textId="77777777" w:rsidR="006448B0" w:rsidRPr="0062053D" w:rsidRDefault="006448B0" w:rsidP="005D4AC7">
      <w:pPr>
        <w:pStyle w:val="Heading2"/>
        <w:bidi/>
      </w:pPr>
    </w:p>
    <w:p w14:paraId="4142654D" w14:textId="0F22756B" w:rsidR="005D4AC7" w:rsidRPr="0062053D" w:rsidRDefault="005D4AC7" w:rsidP="005D4AC7">
      <w:pPr>
        <w:pStyle w:val="Heading2"/>
        <w:bidi/>
      </w:pPr>
      <w:r w:rsidRPr="0062053D">
        <w:rPr>
          <w:rtl/>
        </w:rPr>
        <w:t>النتائج</w:t>
      </w:r>
    </w:p>
    <w:p w14:paraId="5B03FB6D" w14:textId="1265A8CA" w:rsidR="00B217AB" w:rsidRPr="0062053D" w:rsidRDefault="00B217AB">
      <w:pPr>
        <w:pStyle w:val="ListParagraph"/>
        <w:numPr>
          <w:ilvl w:val="0"/>
          <w:numId w:val="2"/>
        </w:numPr>
        <w:bidi/>
      </w:pPr>
      <w:r w:rsidRPr="0062053D">
        <w:rPr>
          <w:b/>
          <w:bCs/>
          <w:rtl/>
        </w:rPr>
        <w:t>كوتريموكسازول للأطفال</w:t>
      </w:r>
      <w:r w:rsidR="00FF4E81" w:rsidRPr="0062053D">
        <w:rPr>
          <w:rtl/>
        </w:rPr>
        <w:t xml:space="preserve">. تم نقل حساب آثار الكوتريموكسازول على وفيات فيروس نقص المناعة البشرية لدى الأطفال </w:t>
      </w:r>
      <w:r w:rsidR="00CF3C5B" w:rsidRPr="0062053D">
        <w:rPr>
          <w:rFonts w:cs="Arial"/>
          <w:rtl/>
        </w:rPr>
        <w:t xml:space="preserve">إلى مرحلة مبكرة </w:t>
      </w:r>
      <w:r w:rsidR="00FF4E81" w:rsidRPr="0062053D">
        <w:rPr>
          <w:rtl/>
        </w:rPr>
        <w:t xml:space="preserve">من تسلسل الإسقاطات ، لالتقاط الآثار بشكل صحيح في سنة توفير الكوتريموكسازول. وسيؤدي ذلك إلى تغيير طفيف في الأعداد المقدرة لوفيات الأطفال. </w:t>
      </w:r>
      <w:r w:rsidRPr="0062053D">
        <w:rPr>
          <w:rtl/>
        </w:rPr>
        <w:br/>
      </w:r>
    </w:p>
    <w:p w14:paraId="1B9E3496" w14:textId="2D0C6B54" w:rsidR="00B217AB" w:rsidRPr="0062053D" w:rsidRDefault="00FB5285" w:rsidP="00BB443F">
      <w:pPr>
        <w:pStyle w:val="ListParagraph"/>
        <w:numPr>
          <w:ilvl w:val="0"/>
          <w:numId w:val="2"/>
        </w:numPr>
        <w:bidi/>
      </w:pPr>
      <w:r w:rsidRPr="0062053D">
        <w:rPr>
          <w:b/>
          <w:bCs/>
          <w:rtl/>
        </w:rPr>
        <w:t>المجموعات السكانية الرئيسية</w:t>
      </w:r>
      <w:r w:rsidR="00B217AB" w:rsidRPr="0062053D">
        <w:rPr>
          <w:rtl/>
        </w:rPr>
        <w:t xml:space="preserve">. إذا كنت قد أكملت مصنف المجموعات السكانية الرئيسية واستوردت الملف ضمن إحصائيات البرنامج &gt; المجموعات السكانية الرئيسية، فإن هذه البيانات والتقديرات متاحة أيضا ضمن النتائج &gt; البالغين 15+ &gt; تقديرات </w:t>
      </w:r>
      <w:r w:rsidR="00CF3C5B" w:rsidRPr="0062053D">
        <w:rPr>
          <w:rtl/>
        </w:rPr>
        <w:t>المجموعات السكانية الرئيسية</w:t>
      </w:r>
      <w:r w:rsidR="00B217AB" w:rsidRPr="0062053D">
        <w:rPr>
          <w:rtl/>
        </w:rPr>
        <w:t>. تعرض الرسوم البيانية الإصابات الجديدة، وانتشار فيروس العوز المناعي البشري، والتغطية بالعلاج المضاد للفيروسات القهقرية، وتقديرات حجم السكان</w:t>
      </w:r>
      <w:r w:rsidR="00CF3C5B" w:rsidRPr="0062053D">
        <w:rPr>
          <w:rtl/>
        </w:rPr>
        <w:t>.</w:t>
      </w:r>
      <w:r w:rsidRPr="0062053D">
        <w:rPr>
          <w:rtl/>
        </w:rPr>
        <w:br/>
      </w:r>
    </w:p>
    <w:p w14:paraId="0231E495" w14:textId="3FF8FF34" w:rsidR="00AC192F" w:rsidRPr="0062053D" w:rsidRDefault="00AC192F" w:rsidP="00BB443F">
      <w:pPr>
        <w:pStyle w:val="ListParagraph"/>
        <w:numPr>
          <w:ilvl w:val="0"/>
          <w:numId w:val="2"/>
        </w:numPr>
        <w:bidi/>
      </w:pPr>
      <w:r w:rsidRPr="0062053D">
        <w:rPr>
          <w:b/>
          <w:bCs/>
          <w:rtl/>
        </w:rPr>
        <w:t>زيادة معدل وفيات متعاطي المخدرات حقنا</w:t>
      </w:r>
      <w:r w:rsidR="00B65688" w:rsidRPr="0062053D">
        <w:rPr>
          <w:rtl/>
        </w:rPr>
        <w:t xml:space="preserve">. يشمل </w:t>
      </w:r>
      <w:bookmarkStart w:id="0" w:name="_Hlk156847772"/>
      <w:r w:rsidR="00CF3C5B" w:rsidRPr="0062053D">
        <w:rPr>
          <w:rtl/>
        </w:rPr>
        <w:t>Spectrum</w:t>
      </w:r>
      <w:bookmarkEnd w:id="0"/>
      <w:r w:rsidR="00B65688" w:rsidRPr="0062053D">
        <w:rPr>
          <w:rtl/>
        </w:rPr>
        <w:t xml:space="preserve"> الوفيات الزائدة غير </w:t>
      </w:r>
      <w:r w:rsidR="00CF3C5B" w:rsidRPr="0062053D">
        <w:rPr>
          <w:rFonts w:hint="cs"/>
          <w:rtl/>
        </w:rPr>
        <w:t xml:space="preserve">الناجمة عن </w:t>
      </w:r>
      <w:r w:rsidR="00B65688" w:rsidRPr="0062053D">
        <w:rPr>
          <w:rtl/>
        </w:rPr>
        <w:t xml:space="preserve">الإيدز بين متعاطي المخدرات حقنا. وقد اقتصر هذا الحساب الآن على تلك الملفات التي تستخدم EPP (مع </w:t>
      </w:r>
      <w:r w:rsidR="00B65688" w:rsidRPr="0062053D">
        <w:rPr>
          <w:i/>
          <w:iCs/>
          <w:rtl/>
        </w:rPr>
        <w:t xml:space="preserve"> التكوين الوبائي المركز</w:t>
      </w:r>
      <w:r w:rsidR="00B65688" w:rsidRPr="0062053D">
        <w:rPr>
          <w:rtl/>
        </w:rPr>
        <w:t>) أو AEM التي تتضمن تقديرا ل</w:t>
      </w:r>
      <w:r w:rsidR="004E70E2" w:rsidRPr="0062053D">
        <w:rPr>
          <w:rtl/>
        </w:rPr>
        <w:t>متعاطي المخدرات حقنا</w:t>
      </w:r>
      <w:r w:rsidR="00B65688" w:rsidRPr="0062053D">
        <w:rPr>
          <w:rtl/>
        </w:rPr>
        <w:t xml:space="preserve">. </w:t>
      </w:r>
      <w:r w:rsidRPr="0062053D">
        <w:rPr>
          <w:rtl/>
        </w:rPr>
        <w:br/>
      </w:r>
    </w:p>
    <w:p w14:paraId="482CC2BA" w14:textId="42452EEB" w:rsidR="005D4AC7" w:rsidRPr="0062053D" w:rsidRDefault="005D4AC7" w:rsidP="0053158B">
      <w:pPr>
        <w:pStyle w:val="Heading2"/>
        <w:bidi/>
      </w:pPr>
      <w:r w:rsidRPr="0062053D">
        <w:rPr>
          <w:rtl/>
        </w:rPr>
        <w:t>التحقق</w:t>
      </w:r>
    </w:p>
    <w:p w14:paraId="3DA66764" w14:textId="676122EE" w:rsidR="001206A6" w:rsidRPr="0062053D" w:rsidRDefault="005B74C5" w:rsidP="00647D8E">
      <w:pPr>
        <w:pStyle w:val="ListParagraph"/>
        <w:numPr>
          <w:ilvl w:val="0"/>
          <w:numId w:val="2"/>
        </w:numPr>
        <w:bidi/>
        <w:rPr>
          <w:b/>
          <w:bCs/>
        </w:rPr>
      </w:pPr>
      <w:r w:rsidRPr="0062053D">
        <w:rPr>
          <w:b/>
          <w:bCs/>
          <w:rtl/>
        </w:rPr>
        <w:t xml:space="preserve">الأطفال الذين عولجوا سابقا. </w:t>
      </w:r>
      <w:r w:rsidR="00F70453" w:rsidRPr="0062053D">
        <w:rPr>
          <w:rtl/>
        </w:rPr>
        <w:t xml:space="preserve">تظهر شاشة التحقق الجديدة تحت عنوان "العلاج المضاد للفيروسات القهقرية" الاتجاه المقدر لدى الأطفال الذين كانوا في السابق يخضعون للعلاج المضاد للفيروسات القهقرية ولكنهم ليسوا حاليا على العلاج المضاد للفيروسات القهقرية. هذا مشابه لشاشة الكبار. بشكل افتراضي ، ستستخدم الشاشة معدلات انقطاع العلاج التي تم إدخالها في محرر بيانات البرنامج (إحصائيات البرنامج &gt; علاج الطفل) ولكن يمكن للمستخدم إدخال معدل مختلف لاستكشاف حساسية النتائج لهذا المعدل. </w:t>
      </w:r>
      <w:r w:rsidR="00D10E20" w:rsidRPr="0062053D">
        <w:rPr>
          <w:rtl/>
        </w:rPr>
        <w:br/>
      </w:r>
    </w:p>
    <w:p w14:paraId="6748FB14" w14:textId="5E52849E" w:rsidR="005B74C5" w:rsidRPr="0062053D" w:rsidRDefault="00D65A71" w:rsidP="005D51BA">
      <w:pPr>
        <w:pStyle w:val="ListParagraph"/>
        <w:numPr>
          <w:ilvl w:val="0"/>
          <w:numId w:val="2"/>
        </w:numPr>
        <w:bidi/>
      </w:pPr>
      <w:r w:rsidRPr="0062053D">
        <w:rPr>
          <w:b/>
          <w:bCs/>
          <w:rtl/>
        </w:rPr>
        <w:t xml:space="preserve">تغطية </w:t>
      </w:r>
      <w:bookmarkStart w:id="1" w:name="_Hlk156848039"/>
      <w:r w:rsidR="003B7F4B" w:rsidRPr="0062053D">
        <w:rPr>
          <w:b/>
          <w:bCs/>
          <w:rtl/>
        </w:rPr>
        <w:t>العلاج المضاد للفيروسات القهقرية</w:t>
      </w:r>
      <w:bookmarkEnd w:id="1"/>
      <w:r w:rsidR="003B7F4B" w:rsidRPr="0062053D">
        <w:rPr>
          <w:b/>
          <w:bCs/>
          <w:rtl/>
        </w:rPr>
        <w:t xml:space="preserve"> </w:t>
      </w:r>
      <w:r w:rsidR="005D51BA" w:rsidRPr="0062053D">
        <w:rPr>
          <w:b/>
          <w:bCs/>
          <w:rtl/>
        </w:rPr>
        <w:t xml:space="preserve">ART </w:t>
      </w:r>
      <w:r w:rsidRPr="0062053D">
        <w:rPr>
          <w:b/>
          <w:bCs/>
          <w:rtl/>
        </w:rPr>
        <w:t>من البرنامج والمسح</w:t>
      </w:r>
      <w:r w:rsidR="005B74C5" w:rsidRPr="0062053D">
        <w:rPr>
          <w:rtl/>
        </w:rPr>
        <w:t xml:space="preserve">. تقارن الرسوم البيانية الجديدة تغطية الأشخاص الذين يتلقون العلاج المضاد للفيروسات القهقرية بين بيانات البرنامج (التي تم إدخالها تحت إحصاءات البرنامج &gt; العلاج المضاد للفيروسات القهقرية للبالغين) والتقديرات المستندة إلى مسح وطني (PHIA أو DHS). يستمد </w:t>
      </w:r>
      <w:r w:rsidR="005D51BA" w:rsidRPr="0062053D">
        <w:rPr>
          <w:rtl/>
        </w:rPr>
        <w:t>Spectrum</w:t>
      </w:r>
      <w:r w:rsidR="005B74C5" w:rsidRPr="0062053D">
        <w:rPr>
          <w:rtl/>
        </w:rPr>
        <w:t xml:space="preserve"> تقدير التغطية القائم على المسح بضرب نسبة العلاج المضاد للفيروسات القهقرية من المسح في العدد التقديري للأشخاص المصابين بفيروس نقص المناعة البشرية في Spectrum حسب العمر والجنس. تتوفر ثلاث شاشات لهذا التحقق من الصحة:</w:t>
      </w:r>
    </w:p>
    <w:p w14:paraId="06A2CB88" w14:textId="7B2064AA" w:rsidR="001077A7" w:rsidRPr="0062053D" w:rsidRDefault="001077A7" w:rsidP="00BB443F">
      <w:pPr>
        <w:pStyle w:val="ListParagraph"/>
        <w:numPr>
          <w:ilvl w:val="1"/>
          <w:numId w:val="6"/>
        </w:numPr>
        <w:bidi/>
      </w:pPr>
      <w:r w:rsidRPr="0062053D">
        <w:rPr>
          <w:rtl/>
        </w:rPr>
        <w:t>تغطية العلاج المضاد للفيروسات القهقرية حسب العمر (لمدة 1 سنة مسح)</w:t>
      </w:r>
    </w:p>
    <w:p w14:paraId="3762B809" w14:textId="325E0A8E" w:rsidR="001077A7" w:rsidRPr="0062053D" w:rsidRDefault="001077A7" w:rsidP="00BB443F">
      <w:pPr>
        <w:pStyle w:val="ListParagraph"/>
        <w:numPr>
          <w:ilvl w:val="1"/>
          <w:numId w:val="6"/>
        </w:numPr>
        <w:bidi/>
      </w:pPr>
      <w:r w:rsidRPr="0062053D">
        <w:rPr>
          <w:rtl/>
        </w:rPr>
        <w:t>تغطية العلاج المضاد للفيروسات القهقرية بمرور الوقت (عرض جميع المسوحات، إذا قاموا بقياس التغطية للفئة العمرية المختارة)</w:t>
      </w:r>
    </w:p>
    <w:p w14:paraId="0C0477F2" w14:textId="3E842068" w:rsidR="001077A7" w:rsidRPr="0062053D" w:rsidRDefault="005D51BA" w:rsidP="00BB443F">
      <w:pPr>
        <w:pStyle w:val="ListParagraph"/>
        <w:numPr>
          <w:ilvl w:val="1"/>
          <w:numId w:val="6"/>
        </w:numPr>
        <w:bidi/>
      </w:pPr>
      <w:r w:rsidRPr="0062053D">
        <w:rPr>
          <w:rFonts w:hint="cs"/>
          <w:rtl/>
        </w:rPr>
        <w:t xml:space="preserve">عدد الاشخاص على </w:t>
      </w:r>
      <w:r w:rsidRPr="0062053D">
        <w:rPr>
          <w:rtl/>
        </w:rPr>
        <w:t>العلاج المضاد للفيروسات القهقرية</w:t>
      </w:r>
      <w:r w:rsidRPr="0062053D">
        <w:rPr>
          <w:rFonts w:hint="cs"/>
          <w:rtl/>
        </w:rPr>
        <w:t xml:space="preserve"> </w:t>
      </w:r>
      <w:r w:rsidR="001077A7" w:rsidRPr="0062053D">
        <w:rPr>
          <w:rtl/>
        </w:rPr>
        <w:t xml:space="preserve"> (لمدة 1 سنة مسح).</w:t>
      </w:r>
      <w:r w:rsidR="006F5967" w:rsidRPr="0062053D">
        <w:rPr>
          <w:rtl/>
        </w:rPr>
        <w:br/>
      </w:r>
    </w:p>
    <w:p w14:paraId="6E1A2834" w14:textId="3C9B4576" w:rsidR="005B74C5" w:rsidRPr="0062053D" w:rsidRDefault="005B74C5" w:rsidP="00DE1EDD">
      <w:pPr>
        <w:pStyle w:val="ListParagraph"/>
        <w:numPr>
          <w:ilvl w:val="0"/>
          <w:numId w:val="2"/>
        </w:numPr>
        <w:bidi/>
      </w:pPr>
      <w:r w:rsidRPr="0062053D">
        <w:rPr>
          <w:b/>
          <w:bCs/>
          <w:rtl/>
        </w:rPr>
        <w:t>تغطية</w:t>
      </w:r>
      <w:r w:rsidR="005D51BA" w:rsidRPr="0062053D">
        <w:rPr>
          <w:rFonts w:hint="cs"/>
          <w:b/>
          <w:bCs/>
          <w:rtl/>
        </w:rPr>
        <w:t xml:space="preserve"> </w:t>
      </w:r>
      <w:r w:rsidR="005A49E8" w:rsidRPr="0062053D">
        <w:rPr>
          <w:rFonts w:cs="Arial"/>
          <w:b/>
          <w:bCs/>
          <w:rtl/>
        </w:rPr>
        <w:t>العلاج المضاد للفيروسات القهقرية</w:t>
      </w:r>
      <w:r w:rsidRPr="0062053D">
        <w:rPr>
          <w:b/>
          <w:bCs/>
          <w:rtl/>
        </w:rPr>
        <w:t xml:space="preserve"> ART من بيانات البرنامج مقابل</w:t>
      </w:r>
      <w:r w:rsidR="005A49E8" w:rsidRPr="0062053D">
        <w:rPr>
          <w:b/>
          <w:bCs/>
        </w:rPr>
        <w:t xml:space="preserve"> </w:t>
      </w:r>
      <w:r w:rsidR="005A49E8" w:rsidRPr="0062053D">
        <w:rPr>
          <w:rFonts w:hint="cs"/>
          <w:b/>
          <w:bCs/>
          <w:rtl/>
          <w:lang w:bidi="ar-LB"/>
        </w:rPr>
        <w:t>ال</w:t>
      </w:r>
      <w:r w:rsidR="005A49E8" w:rsidRPr="0062053D">
        <w:rPr>
          <w:rFonts w:cs="Arial"/>
          <w:b/>
          <w:bCs/>
          <w:rtl/>
        </w:rPr>
        <w:t>رعاية ما قبل الولادة</w:t>
      </w:r>
      <w:r w:rsidRPr="0062053D">
        <w:rPr>
          <w:b/>
          <w:bCs/>
          <w:rtl/>
        </w:rPr>
        <w:t xml:space="preserve"> ANC</w:t>
      </w:r>
      <w:r w:rsidR="007B48EC" w:rsidRPr="0062053D">
        <w:rPr>
          <w:rtl/>
        </w:rPr>
        <w:t>. تقارن شاشة جديدة تغطية البالغين بمضادات الفيروسات القهقرية المقدرة بواسطة Spectrum من بيانات البرنامج مع التنبؤ القائم على نسبة النساء الحوامل المصابات بفيروس العوز المناعي البشري اللا</w:t>
      </w:r>
      <w:r w:rsidR="005A49E8" w:rsidRPr="0062053D">
        <w:rPr>
          <w:rFonts w:hint="cs"/>
          <w:rtl/>
        </w:rPr>
        <w:t>ت</w:t>
      </w:r>
      <w:r w:rsidR="007B48EC" w:rsidRPr="0062053D">
        <w:rPr>
          <w:rtl/>
        </w:rPr>
        <w:t xml:space="preserve">ي يخضعن بالفعل للعلاج المضاد للفيروسات القهقرية قبل الحمل الحالي (تم إدخاله تحت إحصاءات البرنامج &gt; </w:t>
      </w:r>
      <w:r w:rsidR="005A49E8" w:rsidRPr="0062053D">
        <w:rPr>
          <w:rFonts w:cs="Arial"/>
          <w:rtl/>
        </w:rPr>
        <w:t>منع انتقال العدوى من الأم إلى الطفل</w:t>
      </w:r>
      <w:r w:rsidR="007B48EC" w:rsidRPr="0062053D">
        <w:rPr>
          <w:rtl/>
        </w:rPr>
        <w:t xml:space="preserve">). </w:t>
      </w:r>
      <w:r w:rsidRPr="0062053D">
        <w:rPr>
          <w:rtl/>
        </w:rPr>
        <w:br/>
      </w:r>
      <w:r w:rsidR="00547B39" w:rsidRPr="0062053D">
        <w:rPr>
          <w:rtl/>
        </w:rPr>
        <w:t xml:space="preserve">يوصى بهذا التحقق لبلدان أفريقيا جنوب الصحراء الكبرى. إذا لم يكن التنبؤ والتقدير المستند إلى البرنامج قريبين ، فقد يشير ذلك إلى وجود مشكلات في أحد المصادر. </w:t>
      </w:r>
    </w:p>
    <w:sectPr w:rsidR="005B74C5" w:rsidRPr="006205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55AD" w14:textId="77777777" w:rsidR="00CA38DD" w:rsidRDefault="00CA38DD" w:rsidP="00366C1E">
      <w:pPr>
        <w:spacing w:after="0" w:line="240" w:lineRule="auto"/>
      </w:pPr>
      <w:r>
        <w:separator/>
      </w:r>
    </w:p>
  </w:endnote>
  <w:endnote w:type="continuationSeparator" w:id="0">
    <w:p w14:paraId="7F2A8DB1" w14:textId="77777777" w:rsidR="00CA38DD" w:rsidRDefault="00CA38DD" w:rsidP="00366C1E">
      <w:pPr>
        <w:spacing w:after="0" w:line="240" w:lineRule="auto"/>
      </w:pPr>
      <w:r>
        <w:continuationSeparator/>
      </w:r>
    </w:p>
  </w:endnote>
  <w:endnote w:type="continuationNotice" w:id="1">
    <w:p w14:paraId="4DD8930D" w14:textId="77777777" w:rsidR="00CA38DD" w:rsidRDefault="00CA3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91901942"/>
      <w:docPartObj>
        <w:docPartGallery w:val="Page Numbers (Bottom of Page)"/>
        <w:docPartUnique/>
      </w:docPartObj>
    </w:sdtPr>
    <w:sdtEndPr>
      <w:rPr>
        <w:noProof/>
      </w:rPr>
    </w:sdtEndPr>
    <w:sdtContent>
      <w:p w14:paraId="55755DA7" w14:textId="0F34D520" w:rsidR="00366C1E" w:rsidRDefault="00366C1E">
        <w:pPr>
          <w:pStyle w:val="Footer"/>
          <w:bidi/>
          <w:jc w:val="center"/>
        </w:pPr>
        <w:r>
          <w:rPr>
            <w:rtl/>
          </w:rPr>
          <w:fldChar w:fldCharType="begin"/>
        </w:r>
        <w:r>
          <w:rPr>
            <w:rtl/>
          </w:rPr>
          <w:instrText xml:space="preserve"> PAGE   \* MERGEFORMAT </w:instrText>
        </w:r>
        <w:r>
          <w:rPr>
            <w:rtl/>
          </w:rPr>
          <w:fldChar w:fldCharType="separate"/>
        </w:r>
        <w:r>
          <w:rPr>
            <w:noProof/>
            <w:rtl/>
          </w:rPr>
          <w:t>2</w:t>
        </w:r>
        <w:r>
          <w:rPr>
            <w:noProof/>
            <w:rtl/>
          </w:rPr>
          <w:fldChar w:fldCharType="end"/>
        </w:r>
      </w:p>
    </w:sdtContent>
  </w:sdt>
  <w:p w14:paraId="21BF33BF" w14:textId="77777777" w:rsidR="00366C1E" w:rsidRDefault="0036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5E6A" w14:textId="77777777" w:rsidR="00CA38DD" w:rsidRDefault="00CA38DD" w:rsidP="00366C1E">
      <w:pPr>
        <w:spacing w:after="0" w:line="240" w:lineRule="auto"/>
      </w:pPr>
      <w:r>
        <w:separator/>
      </w:r>
    </w:p>
  </w:footnote>
  <w:footnote w:type="continuationSeparator" w:id="0">
    <w:p w14:paraId="404092C3" w14:textId="77777777" w:rsidR="00CA38DD" w:rsidRDefault="00CA38DD" w:rsidP="00366C1E">
      <w:pPr>
        <w:spacing w:after="0" w:line="240" w:lineRule="auto"/>
      </w:pPr>
      <w:r>
        <w:continuationSeparator/>
      </w:r>
    </w:p>
  </w:footnote>
  <w:footnote w:type="continuationNotice" w:id="1">
    <w:p w14:paraId="41A412E5" w14:textId="77777777" w:rsidR="00CA38DD" w:rsidRDefault="00CA38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B75"/>
    <w:multiLevelType w:val="hybridMultilevel"/>
    <w:tmpl w:val="28440E5A"/>
    <w:lvl w:ilvl="0" w:tplc="FFFFFFFF">
      <w:start w:val="1"/>
      <w:numFmt w:val="decimalFullWidth"/>
      <w:lvlText w:val="%1."/>
      <w:lvlJc w:val="left"/>
      <w:pPr>
        <w:ind w:left="360" w:hanging="360"/>
      </w:pPr>
      <w:rPr>
        <w:rFonts w:hint="default"/>
      </w:rPr>
    </w:lvl>
    <w:lvl w:ilvl="1" w:tplc="FFFFFFFF">
      <w:start w:val="1"/>
      <w:numFmt w:val="arabicAlpha"/>
      <w:lvlText w:val="%2."/>
      <w:lvlJc w:val="left"/>
      <w:pPr>
        <w:ind w:left="1080" w:hanging="360"/>
      </w:pPr>
    </w:lvl>
    <w:lvl w:ilvl="2" w:tplc="FFFFFFFF" w:tentative="1">
      <w:start w:val="1"/>
      <w:numFmt w:val="arabicAbjad"/>
      <w:lvlText w:val="%3."/>
      <w:lvlJc w:val="right"/>
      <w:pPr>
        <w:ind w:left="1800" w:hanging="180"/>
      </w:pPr>
    </w:lvl>
    <w:lvl w:ilvl="3" w:tplc="FFFFFFFF" w:tentative="1">
      <w:start w:val="1"/>
      <w:numFmt w:val="decimalFullWidth"/>
      <w:lvlText w:val="%4."/>
      <w:lvlJc w:val="left"/>
      <w:pPr>
        <w:ind w:left="2520" w:hanging="360"/>
      </w:pPr>
    </w:lvl>
    <w:lvl w:ilvl="4" w:tplc="FFFFFFFF" w:tentative="1">
      <w:start w:val="1"/>
      <w:numFmt w:val="arabicAlpha"/>
      <w:lvlText w:val="%5."/>
      <w:lvlJc w:val="left"/>
      <w:pPr>
        <w:ind w:left="3240" w:hanging="360"/>
      </w:pPr>
    </w:lvl>
    <w:lvl w:ilvl="5" w:tplc="FFFFFFFF" w:tentative="1">
      <w:start w:val="1"/>
      <w:numFmt w:val="arabicAbjad"/>
      <w:lvlText w:val="%6."/>
      <w:lvlJc w:val="right"/>
      <w:pPr>
        <w:ind w:left="3960" w:hanging="180"/>
      </w:pPr>
    </w:lvl>
    <w:lvl w:ilvl="6" w:tplc="FFFFFFFF" w:tentative="1">
      <w:start w:val="1"/>
      <w:numFmt w:val="decimalFullWidth"/>
      <w:lvlText w:val="%7."/>
      <w:lvlJc w:val="left"/>
      <w:pPr>
        <w:ind w:left="4680" w:hanging="360"/>
      </w:pPr>
    </w:lvl>
    <w:lvl w:ilvl="7" w:tplc="FFFFFFFF" w:tentative="1">
      <w:start w:val="1"/>
      <w:numFmt w:val="arabicAlpha"/>
      <w:lvlText w:val="%8."/>
      <w:lvlJc w:val="left"/>
      <w:pPr>
        <w:ind w:left="5400" w:hanging="360"/>
      </w:pPr>
    </w:lvl>
    <w:lvl w:ilvl="8" w:tplc="FFFFFFFF" w:tentative="1">
      <w:start w:val="1"/>
      <w:numFmt w:val="arabicAbjad"/>
      <w:lvlText w:val="%9."/>
      <w:lvlJc w:val="right"/>
      <w:pPr>
        <w:ind w:left="6120" w:hanging="180"/>
      </w:pPr>
    </w:lvl>
  </w:abstractNum>
  <w:abstractNum w:abstractNumId="1" w15:restartNumberingAfterBreak="0">
    <w:nsid w:val="37CD0444"/>
    <w:multiLevelType w:val="hybridMultilevel"/>
    <w:tmpl w:val="9B3CE272"/>
    <w:lvl w:ilvl="0" w:tplc="B49C53D4">
      <w:start w:val="1"/>
      <w:numFmt w:val="bullet"/>
      <w:lvlText w:val=""/>
      <w:lvlJc w:val="left"/>
      <w:pPr>
        <w:ind w:left="720" w:hanging="360"/>
      </w:pPr>
      <w:rPr>
        <w:rFonts w:ascii="Symbol" w:hAnsi="Symbol"/>
      </w:rPr>
    </w:lvl>
    <w:lvl w:ilvl="1" w:tplc="49140FF6">
      <w:start w:val="1"/>
      <w:numFmt w:val="bullet"/>
      <w:lvlText w:val=""/>
      <w:lvlJc w:val="left"/>
      <w:pPr>
        <w:ind w:left="720" w:hanging="360"/>
      </w:pPr>
      <w:rPr>
        <w:rFonts w:ascii="Symbol" w:hAnsi="Symbol"/>
      </w:rPr>
    </w:lvl>
    <w:lvl w:ilvl="2" w:tplc="C1D219DE">
      <w:start w:val="1"/>
      <w:numFmt w:val="bullet"/>
      <w:lvlText w:val=""/>
      <w:lvlJc w:val="left"/>
      <w:pPr>
        <w:ind w:left="720" w:hanging="360"/>
      </w:pPr>
      <w:rPr>
        <w:rFonts w:ascii="Symbol" w:hAnsi="Symbol"/>
      </w:rPr>
    </w:lvl>
    <w:lvl w:ilvl="3" w:tplc="CFE29788">
      <w:start w:val="1"/>
      <w:numFmt w:val="bullet"/>
      <w:lvlText w:val=""/>
      <w:lvlJc w:val="left"/>
      <w:pPr>
        <w:ind w:left="720" w:hanging="360"/>
      </w:pPr>
      <w:rPr>
        <w:rFonts w:ascii="Symbol" w:hAnsi="Symbol"/>
      </w:rPr>
    </w:lvl>
    <w:lvl w:ilvl="4" w:tplc="D144A426">
      <w:start w:val="1"/>
      <w:numFmt w:val="bullet"/>
      <w:lvlText w:val=""/>
      <w:lvlJc w:val="left"/>
      <w:pPr>
        <w:ind w:left="720" w:hanging="360"/>
      </w:pPr>
      <w:rPr>
        <w:rFonts w:ascii="Symbol" w:hAnsi="Symbol"/>
      </w:rPr>
    </w:lvl>
    <w:lvl w:ilvl="5" w:tplc="CF00E46E">
      <w:start w:val="1"/>
      <w:numFmt w:val="bullet"/>
      <w:lvlText w:val=""/>
      <w:lvlJc w:val="left"/>
      <w:pPr>
        <w:ind w:left="720" w:hanging="360"/>
      </w:pPr>
      <w:rPr>
        <w:rFonts w:ascii="Symbol" w:hAnsi="Symbol"/>
      </w:rPr>
    </w:lvl>
    <w:lvl w:ilvl="6" w:tplc="0E681A2A">
      <w:start w:val="1"/>
      <w:numFmt w:val="bullet"/>
      <w:lvlText w:val=""/>
      <w:lvlJc w:val="left"/>
      <w:pPr>
        <w:ind w:left="720" w:hanging="360"/>
      </w:pPr>
      <w:rPr>
        <w:rFonts w:ascii="Symbol" w:hAnsi="Symbol"/>
      </w:rPr>
    </w:lvl>
    <w:lvl w:ilvl="7" w:tplc="2556D0CA">
      <w:start w:val="1"/>
      <w:numFmt w:val="bullet"/>
      <w:lvlText w:val=""/>
      <w:lvlJc w:val="left"/>
      <w:pPr>
        <w:ind w:left="720" w:hanging="360"/>
      </w:pPr>
      <w:rPr>
        <w:rFonts w:ascii="Symbol" w:hAnsi="Symbol"/>
      </w:rPr>
    </w:lvl>
    <w:lvl w:ilvl="8" w:tplc="5536741C">
      <w:start w:val="1"/>
      <w:numFmt w:val="bullet"/>
      <w:lvlText w:val=""/>
      <w:lvlJc w:val="left"/>
      <w:pPr>
        <w:ind w:left="720" w:hanging="360"/>
      </w:pPr>
      <w:rPr>
        <w:rFonts w:ascii="Symbol" w:hAnsi="Symbol"/>
      </w:rPr>
    </w:lvl>
  </w:abstractNum>
  <w:abstractNum w:abstractNumId="2" w15:restartNumberingAfterBreak="0">
    <w:nsid w:val="3BAB5574"/>
    <w:multiLevelType w:val="hybridMultilevel"/>
    <w:tmpl w:val="C078518E"/>
    <w:lvl w:ilvl="0" w:tplc="FFFFFFFF">
      <w:start w:val="1"/>
      <w:numFmt w:val="decimalFullWidth"/>
      <w:lvlText w:val="%1."/>
      <w:lvlJc w:val="left"/>
      <w:pPr>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arabicAbjad"/>
      <w:lvlText w:val="%3."/>
      <w:lvlJc w:val="right"/>
      <w:pPr>
        <w:ind w:left="1800" w:hanging="180"/>
      </w:pPr>
    </w:lvl>
    <w:lvl w:ilvl="3" w:tplc="FFFFFFFF" w:tentative="1">
      <w:start w:val="1"/>
      <w:numFmt w:val="decimalFullWidth"/>
      <w:lvlText w:val="%4."/>
      <w:lvlJc w:val="left"/>
      <w:pPr>
        <w:ind w:left="2520" w:hanging="360"/>
      </w:pPr>
    </w:lvl>
    <w:lvl w:ilvl="4" w:tplc="FFFFFFFF" w:tentative="1">
      <w:start w:val="1"/>
      <w:numFmt w:val="arabicAlpha"/>
      <w:lvlText w:val="%5."/>
      <w:lvlJc w:val="left"/>
      <w:pPr>
        <w:ind w:left="3240" w:hanging="360"/>
      </w:pPr>
    </w:lvl>
    <w:lvl w:ilvl="5" w:tplc="FFFFFFFF" w:tentative="1">
      <w:start w:val="1"/>
      <w:numFmt w:val="arabicAbjad"/>
      <w:lvlText w:val="%6."/>
      <w:lvlJc w:val="right"/>
      <w:pPr>
        <w:ind w:left="3960" w:hanging="180"/>
      </w:pPr>
    </w:lvl>
    <w:lvl w:ilvl="6" w:tplc="FFFFFFFF" w:tentative="1">
      <w:start w:val="1"/>
      <w:numFmt w:val="decimalFullWidth"/>
      <w:lvlText w:val="%7."/>
      <w:lvlJc w:val="left"/>
      <w:pPr>
        <w:ind w:left="4680" w:hanging="360"/>
      </w:pPr>
    </w:lvl>
    <w:lvl w:ilvl="7" w:tplc="FFFFFFFF" w:tentative="1">
      <w:start w:val="1"/>
      <w:numFmt w:val="arabicAlpha"/>
      <w:lvlText w:val="%8."/>
      <w:lvlJc w:val="left"/>
      <w:pPr>
        <w:ind w:left="5400" w:hanging="360"/>
      </w:pPr>
    </w:lvl>
    <w:lvl w:ilvl="8" w:tplc="FFFFFFFF" w:tentative="1">
      <w:start w:val="1"/>
      <w:numFmt w:val="arabicAbjad"/>
      <w:lvlText w:val="%9."/>
      <w:lvlJc w:val="right"/>
      <w:pPr>
        <w:ind w:left="6120" w:hanging="180"/>
      </w:pPr>
    </w:lvl>
  </w:abstractNum>
  <w:abstractNum w:abstractNumId="3" w15:restartNumberingAfterBreak="0">
    <w:nsid w:val="5C2C3BDB"/>
    <w:multiLevelType w:val="hybridMultilevel"/>
    <w:tmpl w:val="470C1C2C"/>
    <w:lvl w:ilvl="0" w:tplc="0409000F">
      <w:start w:val="1"/>
      <w:numFmt w:val="decimalFullWidth"/>
      <w:lvlText w:val="%1."/>
      <w:lvlJc w:val="left"/>
      <w:pPr>
        <w:ind w:left="720" w:hanging="360"/>
      </w:pPr>
      <w:rPr>
        <w:rFonts w:hint="default"/>
      </w:rPr>
    </w:lvl>
    <w:lvl w:ilvl="1" w:tplc="04090019">
      <w:start w:val="1"/>
      <w:numFmt w:val="arabicAlpha"/>
      <w:lvlText w:val="%2."/>
      <w:lvlJc w:val="left"/>
      <w:pPr>
        <w:ind w:left="1440" w:hanging="360"/>
      </w:pPr>
    </w:lvl>
    <w:lvl w:ilvl="2" w:tplc="0409001B" w:tentative="1">
      <w:start w:val="1"/>
      <w:numFmt w:val="arabicAbjad"/>
      <w:lvlText w:val="%3."/>
      <w:lvlJc w:val="right"/>
      <w:pPr>
        <w:ind w:left="2160" w:hanging="180"/>
      </w:pPr>
    </w:lvl>
    <w:lvl w:ilvl="3" w:tplc="0409000F" w:tentative="1">
      <w:start w:val="1"/>
      <w:numFmt w:val="decimalFullWidth"/>
      <w:lvlText w:val="%4."/>
      <w:lvlJc w:val="left"/>
      <w:pPr>
        <w:ind w:left="2880" w:hanging="360"/>
      </w:pPr>
    </w:lvl>
    <w:lvl w:ilvl="4" w:tplc="04090019" w:tentative="1">
      <w:start w:val="1"/>
      <w:numFmt w:val="arabicAlpha"/>
      <w:lvlText w:val="%5."/>
      <w:lvlJc w:val="left"/>
      <w:pPr>
        <w:ind w:left="3600" w:hanging="360"/>
      </w:pPr>
    </w:lvl>
    <w:lvl w:ilvl="5" w:tplc="0409001B" w:tentative="1">
      <w:start w:val="1"/>
      <w:numFmt w:val="arabicAbjad"/>
      <w:lvlText w:val="%6."/>
      <w:lvlJc w:val="right"/>
      <w:pPr>
        <w:ind w:left="4320" w:hanging="180"/>
      </w:pPr>
    </w:lvl>
    <w:lvl w:ilvl="6" w:tplc="0409000F" w:tentative="1">
      <w:start w:val="1"/>
      <w:numFmt w:val="decimalFullWidth"/>
      <w:lvlText w:val="%7."/>
      <w:lvlJc w:val="left"/>
      <w:pPr>
        <w:ind w:left="5040" w:hanging="360"/>
      </w:pPr>
    </w:lvl>
    <w:lvl w:ilvl="7" w:tplc="04090019" w:tentative="1">
      <w:start w:val="1"/>
      <w:numFmt w:val="arabicAlpha"/>
      <w:lvlText w:val="%8."/>
      <w:lvlJc w:val="left"/>
      <w:pPr>
        <w:ind w:left="5760" w:hanging="360"/>
      </w:pPr>
    </w:lvl>
    <w:lvl w:ilvl="8" w:tplc="0409001B" w:tentative="1">
      <w:start w:val="1"/>
      <w:numFmt w:val="arabicAbjad"/>
      <w:lvlText w:val="%9."/>
      <w:lvlJc w:val="right"/>
      <w:pPr>
        <w:ind w:left="6480" w:hanging="180"/>
      </w:pPr>
    </w:lvl>
  </w:abstractNum>
  <w:abstractNum w:abstractNumId="4" w15:restartNumberingAfterBreak="0">
    <w:nsid w:val="648B74D6"/>
    <w:multiLevelType w:val="hybridMultilevel"/>
    <w:tmpl w:val="23C0FBCA"/>
    <w:lvl w:ilvl="0" w:tplc="03D088DA">
      <w:start w:val="1"/>
      <w:numFmt w:val="bullet"/>
      <w:lvlText w:val=""/>
      <w:lvlJc w:val="left"/>
      <w:pPr>
        <w:ind w:left="720" w:hanging="360"/>
      </w:pPr>
      <w:rPr>
        <w:rFonts w:ascii="Symbol" w:hAnsi="Symbol"/>
      </w:rPr>
    </w:lvl>
    <w:lvl w:ilvl="1" w:tplc="B06224D6">
      <w:start w:val="1"/>
      <w:numFmt w:val="bullet"/>
      <w:lvlText w:val=""/>
      <w:lvlJc w:val="left"/>
      <w:pPr>
        <w:ind w:left="720" w:hanging="360"/>
      </w:pPr>
      <w:rPr>
        <w:rFonts w:ascii="Symbol" w:hAnsi="Symbol"/>
      </w:rPr>
    </w:lvl>
    <w:lvl w:ilvl="2" w:tplc="AB92AFF0">
      <w:start w:val="1"/>
      <w:numFmt w:val="bullet"/>
      <w:lvlText w:val=""/>
      <w:lvlJc w:val="left"/>
      <w:pPr>
        <w:ind w:left="720" w:hanging="360"/>
      </w:pPr>
      <w:rPr>
        <w:rFonts w:ascii="Symbol" w:hAnsi="Symbol"/>
      </w:rPr>
    </w:lvl>
    <w:lvl w:ilvl="3" w:tplc="3A52C98E">
      <w:start w:val="1"/>
      <w:numFmt w:val="bullet"/>
      <w:lvlText w:val=""/>
      <w:lvlJc w:val="left"/>
      <w:pPr>
        <w:ind w:left="720" w:hanging="360"/>
      </w:pPr>
      <w:rPr>
        <w:rFonts w:ascii="Symbol" w:hAnsi="Symbol"/>
      </w:rPr>
    </w:lvl>
    <w:lvl w:ilvl="4" w:tplc="FAA63AB0">
      <w:start w:val="1"/>
      <w:numFmt w:val="bullet"/>
      <w:lvlText w:val=""/>
      <w:lvlJc w:val="left"/>
      <w:pPr>
        <w:ind w:left="720" w:hanging="360"/>
      </w:pPr>
      <w:rPr>
        <w:rFonts w:ascii="Symbol" w:hAnsi="Symbol"/>
      </w:rPr>
    </w:lvl>
    <w:lvl w:ilvl="5" w:tplc="FCB66084">
      <w:start w:val="1"/>
      <w:numFmt w:val="bullet"/>
      <w:lvlText w:val=""/>
      <w:lvlJc w:val="left"/>
      <w:pPr>
        <w:ind w:left="720" w:hanging="360"/>
      </w:pPr>
      <w:rPr>
        <w:rFonts w:ascii="Symbol" w:hAnsi="Symbol"/>
      </w:rPr>
    </w:lvl>
    <w:lvl w:ilvl="6" w:tplc="1A9C165E">
      <w:start w:val="1"/>
      <w:numFmt w:val="bullet"/>
      <w:lvlText w:val=""/>
      <w:lvlJc w:val="left"/>
      <w:pPr>
        <w:ind w:left="720" w:hanging="360"/>
      </w:pPr>
      <w:rPr>
        <w:rFonts w:ascii="Symbol" w:hAnsi="Symbol"/>
      </w:rPr>
    </w:lvl>
    <w:lvl w:ilvl="7" w:tplc="534031FE">
      <w:start w:val="1"/>
      <w:numFmt w:val="bullet"/>
      <w:lvlText w:val=""/>
      <w:lvlJc w:val="left"/>
      <w:pPr>
        <w:ind w:left="720" w:hanging="360"/>
      </w:pPr>
      <w:rPr>
        <w:rFonts w:ascii="Symbol" w:hAnsi="Symbol"/>
      </w:rPr>
    </w:lvl>
    <w:lvl w:ilvl="8" w:tplc="43AC90D4">
      <w:start w:val="1"/>
      <w:numFmt w:val="bullet"/>
      <w:lvlText w:val=""/>
      <w:lvlJc w:val="left"/>
      <w:pPr>
        <w:ind w:left="720" w:hanging="360"/>
      </w:pPr>
      <w:rPr>
        <w:rFonts w:ascii="Symbol" w:hAnsi="Symbol"/>
      </w:rPr>
    </w:lvl>
  </w:abstractNum>
  <w:abstractNum w:abstractNumId="5" w15:restartNumberingAfterBreak="0">
    <w:nsid w:val="68710CFF"/>
    <w:multiLevelType w:val="hybridMultilevel"/>
    <w:tmpl w:val="A0A0CADC"/>
    <w:lvl w:ilvl="0" w:tplc="E6D41604">
      <w:start w:val="1"/>
      <w:numFmt w:val="bullet"/>
      <w:lvlText w:val=""/>
      <w:lvlJc w:val="left"/>
      <w:pPr>
        <w:ind w:left="720" w:hanging="360"/>
      </w:pPr>
      <w:rPr>
        <w:rFonts w:ascii="Symbol" w:hAnsi="Symbol"/>
      </w:rPr>
    </w:lvl>
    <w:lvl w:ilvl="1" w:tplc="D9C6FB1A">
      <w:start w:val="1"/>
      <w:numFmt w:val="bullet"/>
      <w:lvlText w:val=""/>
      <w:lvlJc w:val="left"/>
      <w:pPr>
        <w:ind w:left="720" w:hanging="360"/>
      </w:pPr>
      <w:rPr>
        <w:rFonts w:ascii="Symbol" w:hAnsi="Symbol"/>
      </w:rPr>
    </w:lvl>
    <w:lvl w:ilvl="2" w:tplc="C7323F7E">
      <w:start w:val="1"/>
      <w:numFmt w:val="bullet"/>
      <w:lvlText w:val=""/>
      <w:lvlJc w:val="left"/>
      <w:pPr>
        <w:ind w:left="720" w:hanging="360"/>
      </w:pPr>
      <w:rPr>
        <w:rFonts w:ascii="Symbol" w:hAnsi="Symbol"/>
      </w:rPr>
    </w:lvl>
    <w:lvl w:ilvl="3" w:tplc="1A906232">
      <w:start w:val="1"/>
      <w:numFmt w:val="bullet"/>
      <w:lvlText w:val=""/>
      <w:lvlJc w:val="left"/>
      <w:pPr>
        <w:ind w:left="720" w:hanging="360"/>
      </w:pPr>
      <w:rPr>
        <w:rFonts w:ascii="Symbol" w:hAnsi="Symbol"/>
      </w:rPr>
    </w:lvl>
    <w:lvl w:ilvl="4" w:tplc="87DEDE40">
      <w:start w:val="1"/>
      <w:numFmt w:val="bullet"/>
      <w:lvlText w:val=""/>
      <w:lvlJc w:val="left"/>
      <w:pPr>
        <w:ind w:left="720" w:hanging="360"/>
      </w:pPr>
      <w:rPr>
        <w:rFonts w:ascii="Symbol" w:hAnsi="Symbol"/>
      </w:rPr>
    </w:lvl>
    <w:lvl w:ilvl="5" w:tplc="D1FADFAC">
      <w:start w:val="1"/>
      <w:numFmt w:val="bullet"/>
      <w:lvlText w:val=""/>
      <w:lvlJc w:val="left"/>
      <w:pPr>
        <w:ind w:left="720" w:hanging="360"/>
      </w:pPr>
      <w:rPr>
        <w:rFonts w:ascii="Symbol" w:hAnsi="Symbol"/>
      </w:rPr>
    </w:lvl>
    <w:lvl w:ilvl="6" w:tplc="45B6A800">
      <w:start w:val="1"/>
      <w:numFmt w:val="bullet"/>
      <w:lvlText w:val=""/>
      <w:lvlJc w:val="left"/>
      <w:pPr>
        <w:ind w:left="720" w:hanging="360"/>
      </w:pPr>
      <w:rPr>
        <w:rFonts w:ascii="Symbol" w:hAnsi="Symbol"/>
      </w:rPr>
    </w:lvl>
    <w:lvl w:ilvl="7" w:tplc="92A2F9F6">
      <w:start w:val="1"/>
      <w:numFmt w:val="bullet"/>
      <w:lvlText w:val=""/>
      <w:lvlJc w:val="left"/>
      <w:pPr>
        <w:ind w:left="720" w:hanging="360"/>
      </w:pPr>
      <w:rPr>
        <w:rFonts w:ascii="Symbol" w:hAnsi="Symbol"/>
      </w:rPr>
    </w:lvl>
    <w:lvl w:ilvl="8" w:tplc="18CC928C">
      <w:start w:val="1"/>
      <w:numFmt w:val="bullet"/>
      <w:lvlText w:val=""/>
      <w:lvlJc w:val="left"/>
      <w:pPr>
        <w:ind w:left="720" w:hanging="360"/>
      </w:pPr>
      <w:rPr>
        <w:rFonts w:ascii="Symbol" w:hAnsi="Symbol"/>
      </w:rPr>
    </w:lvl>
  </w:abstractNum>
  <w:abstractNum w:abstractNumId="6" w15:restartNumberingAfterBreak="0">
    <w:nsid w:val="6BF01A41"/>
    <w:multiLevelType w:val="hybridMultilevel"/>
    <w:tmpl w:val="85BE714A"/>
    <w:lvl w:ilvl="0" w:tplc="FFFFFFFF">
      <w:start w:val="1"/>
      <w:numFmt w:val="decimalFullWidth"/>
      <w:lvlText w:val="%1."/>
      <w:lvlJc w:val="left"/>
      <w:pPr>
        <w:ind w:left="360" w:hanging="360"/>
      </w:pPr>
      <w:rPr>
        <w:rFonts w:hint="default"/>
      </w:rPr>
    </w:lvl>
    <w:lvl w:ilvl="1" w:tplc="20000001">
      <w:start w:val="1"/>
      <w:numFmt w:val="bullet"/>
      <w:lvlText w:val=""/>
      <w:lvlJc w:val="left"/>
      <w:pPr>
        <w:ind w:left="1080" w:hanging="360"/>
      </w:pPr>
      <w:rPr>
        <w:rFonts w:ascii="Symbol" w:hAnsi="Symbol" w:hint="default"/>
      </w:rPr>
    </w:lvl>
    <w:lvl w:ilvl="2" w:tplc="FFFFFFFF" w:tentative="1">
      <w:start w:val="1"/>
      <w:numFmt w:val="arabicAbjad"/>
      <w:lvlText w:val="%3."/>
      <w:lvlJc w:val="right"/>
      <w:pPr>
        <w:ind w:left="1800" w:hanging="180"/>
      </w:pPr>
    </w:lvl>
    <w:lvl w:ilvl="3" w:tplc="FFFFFFFF" w:tentative="1">
      <w:start w:val="1"/>
      <w:numFmt w:val="decimalFullWidth"/>
      <w:lvlText w:val="%4."/>
      <w:lvlJc w:val="left"/>
      <w:pPr>
        <w:ind w:left="2520" w:hanging="360"/>
      </w:pPr>
    </w:lvl>
    <w:lvl w:ilvl="4" w:tplc="FFFFFFFF" w:tentative="1">
      <w:start w:val="1"/>
      <w:numFmt w:val="arabicAlpha"/>
      <w:lvlText w:val="%5."/>
      <w:lvlJc w:val="left"/>
      <w:pPr>
        <w:ind w:left="3240" w:hanging="360"/>
      </w:pPr>
    </w:lvl>
    <w:lvl w:ilvl="5" w:tplc="FFFFFFFF" w:tentative="1">
      <w:start w:val="1"/>
      <w:numFmt w:val="arabicAbjad"/>
      <w:lvlText w:val="%6."/>
      <w:lvlJc w:val="right"/>
      <w:pPr>
        <w:ind w:left="3960" w:hanging="180"/>
      </w:pPr>
    </w:lvl>
    <w:lvl w:ilvl="6" w:tplc="FFFFFFFF" w:tentative="1">
      <w:start w:val="1"/>
      <w:numFmt w:val="decimalFullWidth"/>
      <w:lvlText w:val="%7."/>
      <w:lvlJc w:val="left"/>
      <w:pPr>
        <w:ind w:left="4680" w:hanging="360"/>
      </w:pPr>
    </w:lvl>
    <w:lvl w:ilvl="7" w:tplc="FFFFFFFF" w:tentative="1">
      <w:start w:val="1"/>
      <w:numFmt w:val="arabicAlpha"/>
      <w:lvlText w:val="%8."/>
      <w:lvlJc w:val="left"/>
      <w:pPr>
        <w:ind w:left="5400" w:hanging="360"/>
      </w:pPr>
    </w:lvl>
    <w:lvl w:ilvl="8" w:tplc="FFFFFFFF" w:tentative="1">
      <w:start w:val="1"/>
      <w:numFmt w:val="arabicAbjad"/>
      <w:lvlText w:val="%9."/>
      <w:lvlJc w:val="right"/>
      <w:pPr>
        <w:ind w:left="6120" w:hanging="180"/>
      </w:pPr>
    </w:lvl>
  </w:abstractNum>
  <w:abstractNum w:abstractNumId="7" w15:restartNumberingAfterBreak="0">
    <w:nsid w:val="721F5ADD"/>
    <w:multiLevelType w:val="hybridMultilevel"/>
    <w:tmpl w:val="1E26E97A"/>
    <w:lvl w:ilvl="0" w:tplc="78B056DE">
      <w:start w:val="1"/>
      <w:numFmt w:val="bullet"/>
      <w:lvlText w:val=""/>
      <w:lvlJc w:val="left"/>
      <w:pPr>
        <w:ind w:left="720" w:hanging="360"/>
      </w:pPr>
      <w:rPr>
        <w:rFonts w:ascii="Symbol" w:hAnsi="Symbol"/>
      </w:rPr>
    </w:lvl>
    <w:lvl w:ilvl="1" w:tplc="13680148">
      <w:start w:val="1"/>
      <w:numFmt w:val="bullet"/>
      <w:lvlText w:val=""/>
      <w:lvlJc w:val="left"/>
      <w:pPr>
        <w:ind w:left="720" w:hanging="360"/>
      </w:pPr>
      <w:rPr>
        <w:rFonts w:ascii="Symbol" w:hAnsi="Symbol"/>
      </w:rPr>
    </w:lvl>
    <w:lvl w:ilvl="2" w:tplc="8580E334">
      <w:start w:val="1"/>
      <w:numFmt w:val="bullet"/>
      <w:lvlText w:val=""/>
      <w:lvlJc w:val="left"/>
      <w:pPr>
        <w:ind w:left="720" w:hanging="360"/>
      </w:pPr>
      <w:rPr>
        <w:rFonts w:ascii="Symbol" w:hAnsi="Symbol"/>
      </w:rPr>
    </w:lvl>
    <w:lvl w:ilvl="3" w:tplc="06B00268">
      <w:start w:val="1"/>
      <w:numFmt w:val="bullet"/>
      <w:lvlText w:val=""/>
      <w:lvlJc w:val="left"/>
      <w:pPr>
        <w:ind w:left="720" w:hanging="360"/>
      </w:pPr>
      <w:rPr>
        <w:rFonts w:ascii="Symbol" w:hAnsi="Symbol"/>
      </w:rPr>
    </w:lvl>
    <w:lvl w:ilvl="4" w:tplc="A5008A3A">
      <w:start w:val="1"/>
      <w:numFmt w:val="bullet"/>
      <w:lvlText w:val=""/>
      <w:lvlJc w:val="left"/>
      <w:pPr>
        <w:ind w:left="720" w:hanging="360"/>
      </w:pPr>
      <w:rPr>
        <w:rFonts w:ascii="Symbol" w:hAnsi="Symbol"/>
      </w:rPr>
    </w:lvl>
    <w:lvl w:ilvl="5" w:tplc="722A1AB6">
      <w:start w:val="1"/>
      <w:numFmt w:val="bullet"/>
      <w:lvlText w:val=""/>
      <w:lvlJc w:val="left"/>
      <w:pPr>
        <w:ind w:left="720" w:hanging="360"/>
      </w:pPr>
      <w:rPr>
        <w:rFonts w:ascii="Symbol" w:hAnsi="Symbol"/>
      </w:rPr>
    </w:lvl>
    <w:lvl w:ilvl="6" w:tplc="F976A4F0">
      <w:start w:val="1"/>
      <w:numFmt w:val="bullet"/>
      <w:lvlText w:val=""/>
      <w:lvlJc w:val="left"/>
      <w:pPr>
        <w:ind w:left="720" w:hanging="360"/>
      </w:pPr>
      <w:rPr>
        <w:rFonts w:ascii="Symbol" w:hAnsi="Symbol"/>
      </w:rPr>
    </w:lvl>
    <w:lvl w:ilvl="7" w:tplc="1ED06CC0">
      <w:start w:val="1"/>
      <w:numFmt w:val="bullet"/>
      <w:lvlText w:val=""/>
      <w:lvlJc w:val="left"/>
      <w:pPr>
        <w:ind w:left="720" w:hanging="360"/>
      </w:pPr>
      <w:rPr>
        <w:rFonts w:ascii="Symbol" w:hAnsi="Symbol"/>
      </w:rPr>
    </w:lvl>
    <w:lvl w:ilvl="8" w:tplc="A260C2E4">
      <w:start w:val="1"/>
      <w:numFmt w:val="bullet"/>
      <w:lvlText w:val=""/>
      <w:lvlJc w:val="left"/>
      <w:pPr>
        <w:ind w:left="720" w:hanging="360"/>
      </w:pPr>
      <w:rPr>
        <w:rFonts w:ascii="Symbol" w:hAnsi="Symbol"/>
      </w:rPr>
    </w:lvl>
  </w:abstractNum>
  <w:num w:numId="1" w16cid:durableId="155263542">
    <w:abstractNumId w:val="3"/>
  </w:num>
  <w:num w:numId="2" w16cid:durableId="1561358925">
    <w:abstractNumId w:val="0"/>
  </w:num>
  <w:num w:numId="3" w16cid:durableId="1632976660">
    <w:abstractNumId w:val="1"/>
  </w:num>
  <w:num w:numId="4" w16cid:durableId="1162503646">
    <w:abstractNumId w:val="5"/>
  </w:num>
  <w:num w:numId="5" w16cid:durableId="2066946782">
    <w:abstractNumId w:val="2"/>
  </w:num>
  <w:num w:numId="6" w16cid:durableId="1753889320">
    <w:abstractNumId w:val="6"/>
  </w:num>
  <w:num w:numId="7" w16cid:durableId="409155191">
    <w:abstractNumId w:val="7"/>
  </w:num>
  <w:num w:numId="8" w16cid:durableId="1036925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14"/>
    <w:rsid w:val="00007376"/>
    <w:rsid w:val="000109C7"/>
    <w:rsid w:val="00030DB0"/>
    <w:rsid w:val="000311A2"/>
    <w:rsid w:val="00037BC9"/>
    <w:rsid w:val="0004444C"/>
    <w:rsid w:val="00045E98"/>
    <w:rsid w:val="00047B2D"/>
    <w:rsid w:val="000647BA"/>
    <w:rsid w:val="0007006E"/>
    <w:rsid w:val="000821BD"/>
    <w:rsid w:val="000A3DFA"/>
    <w:rsid w:val="000A6A56"/>
    <w:rsid w:val="000D746E"/>
    <w:rsid w:val="000E45D3"/>
    <w:rsid w:val="001007D1"/>
    <w:rsid w:val="001077A7"/>
    <w:rsid w:val="00116B8F"/>
    <w:rsid w:val="001206A6"/>
    <w:rsid w:val="001378B6"/>
    <w:rsid w:val="00157FE3"/>
    <w:rsid w:val="00160E05"/>
    <w:rsid w:val="00192661"/>
    <w:rsid w:val="00196F4E"/>
    <w:rsid w:val="00197A1B"/>
    <w:rsid w:val="001B22AB"/>
    <w:rsid w:val="001B39A2"/>
    <w:rsid w:val="001C3234"/>
    <w:rsid w:val="001D2419"/>
    <w:rsid w:val="001D78C6"/>
    <w:rsid w:val="001F29D0"/>
    <w:rsid w:val="001F4ACB"/>
    <w:rsid w:val="001F7A8E"/>
    <w:rsid w:val="002205E6"/>
    <w:rsid w:val="002220CB"/>
    <w:rsid w:val="00223456"/>
    <w:rsid w:val="002248B8"/>
    <w:rsid w:val="002311B6"/>
    <w:rsid w:val="00232F10"/>
    <w:rsid w:val="00234688"/>
    <w:rsid w:val="00241F45"/>
    <w:rsid w:val="0024610D"/>
    <w:rsid w:val="002556E8"/>
    <w:rsid w:val="00267084"/>
    <w:rsid w:val="00271CBE"/>
    <w:rsid w:val="00283553"/>
    <w:rsid w:val="00285A31"/>
    <w:rsid w:val="00295CC0"/>
    <w:rsid w:val="002A2755"/>
    <w:rsid w:val="002C2556"/>
    <w:rsid w:val="002D0BBC"/>
    <w:rsid w:val="002D2998"/>
    <w:rsid w:val="002D6D92"/>
    <w:rsid w:val="002E66F3"/>
    <w:rsid w:val="002F2901"/>
    <w:rsid w:val="003063C9"/>
    <w:rsid w:val="00324AC7"/>
    <w:rsid w:val="00325D73"/>
    <w:rsid w:val="00337104"/>
    <w:rsid w:val="00361A89"/>
    <w:rsid w:val="00366C1E"/>
    <w:rsid w:val="00372318"/>
    <w:rsid w:val="00373608"/>
    <w:rsid w:val="00384608"/>
    <w:rsid w:val="003B6F60"/>
    <w:rsid w:val="003B7F4B"/>
    <w:rsid w:val="003C432C"/>
    <w:rsid w:val="00415273"/>
    <w:rsid w:val="00415683"/>
    <w:rsid w:val="00415E67"/>
    <w:rsid w:val="00427BDA"/>
    <w:rsid w:val="0044015F"/>
    <w:rsid w:val="00451256"/>
    <w:rsid w:val="00456F64"/>
    <w:rsid w:val="00462343"/>
    <w:rsid w:val="00463ED7"/>
    <w:rsid w:val="0046747A"/>
    <w:rsid w:val="00476243"/>
    <w:rsid w:val="00483E0F"/>
    <w:rsid w:val="004943F9"/>
    <w:rsid w:val="004B146A"/>
    <w:rsid w:val="004B1CE2"/>
    <w:rsid w:val="004B3105"/>
    <w:rsid w:val="004E364F"/>
    <w:rsid w:val="004E70E2"/>
    <w:rsid w:val="00521F25"/>
    <w:rsid w:val="005270A8"/>
    <w:rsid w:val="0053158B"/>
    <w:rsid w:val="00545ADD"/>
    <w:rsid w:val="00547B39"/>
    <w:rsid w:val="00554849"/>
    <w:rsid w:val="0055565F"/>
    <w:rsid w:val="00562166"/>
    <w:rsid w:val="0056488F"/>
    <w:rsid w:val="00567148"/>
    <w:rsid w:val="00580724"/>
    <w:rsid w:val="00584C9C"/>
    <w:rsid w:val="00585BD1"/>
    <w:rsid w:val="005A49E8"/>
    <w:rsid w:val="005B4C19"/>
    <w:rsid w:val="005B74C5"/>
    <w:rsid w:val="005D4AC7"/>
    <w:rsid w:val="005D51BA"/>
    <w:rsid w:val="005D5A7B"/>
    <w:rsid w:val="005D6BB3"/>
    <w:rsid w:val="005E1F08"/>
    <w:rsid w:val="005F107F"/>
    <w:rsid w:val="005F2C2A"/>
    <w:rsid w:val="005F36BD"/>
    <w:rsid w:val="0061209B"/>
    <w:rsid w:val="006154C7"/>
    <w:rsid w:val="0061587A"/>
    <w:rsid w:val="00616E32"/>
    <w:rsid w:val="0062053D"/>
    <w:rsid w:val="006240D0"/>
    <w:rsid w:val="00627331"/>
    <w:rsid w:val="006359BB"/>
    <w:rsid w:val="00641A1B"/>
    <w:rsid w:val="006448B0"/>
    <w:rsid w:val="00647D8E"/>
    <w:rsid w:val="00656E11"/>
    <w:rsid w:val="006834A2"/>
    <w:rsid w:val="006900AA"/>
    <w:rsid w:val="006A6408"/>
    <w:rsid w:val="006B1066"/>
    <w:rsid w:val="006B1607"/>
    <w:rsid w:val="006B6194"/>
    <w:rsid w:val="006D2BB3"/>
    <w:rsid w:val="006D4632"/>
    <w:rsid w:val="006E2092"/>
    <w:rsid w:val="006F44A4"/>
    <w:rsid w:val="006F48FC"/>
    <w:rsid w:val="006F5967"/>
    <w:rsid w:val="007003D1"/>
    <w:rsid w:val="00716A8B"/>
    <w:rsid w:val="00716FE4"/>
    <w:rsid w:val="007368D2"/>
    <w:rsid w:val="00740BA0"/>
    <w:rsid w:val="007638BE"/>
    <w:rsid w:val="0076758C"/>
    <w:rsid w:val="007715AC"/>
    <w:rsid w:val="00775BD6"/>
    <w:rsid w:val="00780214"/>
    <w:rsid w:val="00792234"/>
    <w:rsid w:val="007A2536"/>
    <w:rsid w:val="007B48EC"/>
    <w:rsid w:val="007B6884"/>
    <w:rsid w:val="007C6730"/>
    <w:rsid w:val="007E79E7"/>
    <w:rsid w:val="007F1806"/>
    <w:rsid w:val="007F297B"/>
    <w:rsid w:val="008057E2"/>
    <w:rsid w:val="00835E3A"/>
    <w:rsid w:val="00841099"/>
    <w:rsid w:val="00842611"/>
    <w:rsid w:val="00856335"/>
    <w:rsid w:val="00857402"/>
    <w:rsid w:val="00865EB3"/>
    <w:rsid w:val="00883BF1"/>
    <w:rsid w:val="00892ED6"/>
    <w:rsid w:val="00895809"/>
    <w:rsid w:val="008A6CBF"/>
    <w:rsid w:val="008B1E67"/>
    <w:rsid w:val="008B476F"/>
    <w:rsid w:val="008B7CFB"/>
    <w:rsid w:val="008E0018"/>
    <w:rsid w:val="008E4248"/>
    <w:rsid w:val="008F238C"/>
    <w:rsid w:val="008F4269"/>
    <w:rsid w:val="00900040"/>
    <w:rsid w:val="00906058"/>
    <w:rsid w:val="009104E8"/>
    <w:rsid w:val="00934765"/>
    <w:rsid w:val="009354F7"/>
    <w:rsid w:val="00950DF5"/>
    <w:rsid w:val="0095181A"/>
    <w:rsid w:val="0096342D"/>
    <w:rsid w:val="009670FB"/>
    <w:rsid w:val="009713D5"/>
    <w:rsid w:val="009815C7"/>
    <w:rsid w:val="00984663"/>
    <w:rsid w:val="009B601D"/>
    <w:rsid w:val="009C466B"/>
    <w:rsid w:val="009D439C"/>
    <w:rsid w:val="009D76E9"/>
    <w:rsid w:val="009E19B4"/>
    <w:rsid w:val="009E3988"/>
    <w:rsid w:val="00A06CF6"/>
    <w:rsid w:val="00A119A8"/>
    <w:rsid w:val="00A20A5C"/>
    <w:rsid w:val="00A22765"/>
    <w:rsid w:val="00A22DE8"/>
    <w:rsid w:val="00A24F46"/>
    <w:rsid w:val="00A27B33"/>
    <w:rsid w:val="00A27FEA"/>
    <w:rsid w:val="00A34ECC"/>
    <w:rsid w:val="00A36099"/>
    <w:rsid w:val="00A507AD"/>
    <w:rsid w:val="00A752C0"/>
    <w:rsid w:val="00AB68EC"/>
    <w:rsid w:val="00AC192F"/>
    <w:rsid w:val="00AD3210"/>
    <w:rsid w:val="00AD4232"/>
    <w:rsid w:val="00AF03C0"/>
    <w:rsid w:val="00B07BDE"/>
    <w:rsid w:val="00B104DD"/>
    <w:rsid w:val="00B1239B"/>
    <w:rsid w:val="00B127AA"/>
    <w:rsid w:val="00B217AB"/>
    <w:rsid w:val="00B229E3"/>
    <w:rsid w:val="00B22AEB"/>
    <w:rsid w:val="00B268D1"/>
    <w:rsid w:val="00B34E74"/>
    <w:rsid w:val="00B3677B"/>
    <w:rsid w:val="00B43826"/>
    <w:rsid w:val="00B537EE"/>
    <w:rsid w:val="00B640E9"/>
    <w:rsid w:val="00B65688"/>
    <w:rsid w:val="00B72DFA"/>
    <w:rsid w:val="00B73AC5"/>
    <w:rsid w:val="00B84410"/>
    <w:rsid w:val="00B86551"/>
    <w:rsid w:val="00BA6B26"/>
    <w:rsid w:val="00BB443F"/>
    <w:rsid w:val="00BB4780"/>
    <w:rsid w:val="00BC5334"/>
    <w:rsid w:val="00BD11A1"/>
    <w:rsid w:val="00BD4E42"/>
    <w:rsid w:val="00BF1EB1"/>
    <w:rsid w:val="00BF4F61"/>
    <w:rsid w:val="00BF75EE"/>
    <w:rsid w:val="00C11C7E"/>
    <w:rsid w:val="00C13C95"/>
    <w:rsid w:val="00C3385E"/>
    <w:rsid w:val="00C33DD9"/>
    <w:rsid w:val="00C345BF"/>
    <w:rsid w:val="00C363FA"/>
    <w:rsid w:val="00C507CD"/>
    <w:rsid w:val="00C51C2A"/>
    <w:rsid w:val="00C5358D"/>
    <w:rsid w:val="00C54708"/>
    <w:rsid w:val="00C62725"/>
    <w:rsid w:val="00C64896"/>
    <w:rsid w:val="00C935BB"/>
    <w:rsid w:val="00C9478D"/>
    <w:rsid w:val="00C9627E"/>
    <w:rsid w:val="00CA38DD"/>
    <w:rsid w:val="00CC0A6E"/>
    <w:rsid w:val="00CC63A7"/>
    <w:rsid w:val="00CD0425"/>
    <w:rsid w:val="00CD225E"/>
    <w:rsid w:val="00CD66C1"/>
    <w:rsid w:val="00CE1F5F"/>
    <w:rsid w:val="00CE31DC"/>
    <w:rsid w:val="00CF22B7"/>
    <w:rsid w:val="00CF374E"/>
    <w:rsid w:val="00CF3C5B"/>
    <w:rsid w:val="00CF450D"/>
    <w:rsid w:val="00D0047C"/>
    <w:rsid w:val="00D10E20"/>
    <w:rsid w:val="00D111F0"/>
    <w:rsid w:val="00D113E3"/>
    <w:rsid w:val="00D35524"/>
    <w:rsid w:val="00D40322"/>
    <w:rsid w:val="00D42948"/>
    <w:rsid w:val="00D44A9E"/>
    <w:rsid w:val="00D45B17"/>
    <w:rsid w:val="00D5583D"/>
    <w:rsid w:val="00D579E1"/>
    <w:rsid w:val="00D65A71"/>
    <w:rsid w:val="00D7133D"/>
    <w:rsid w:val="00D72854"/>
    <w:rsid w:val="00D8661C"/>
    <w:rsid w:val="00DB3B5B"/>
    <w:rsid w:val="00DD440C"/>
    <w:rsid w:val="00DE0B44"/>
    <w:rsid w:val="00DE1E04"/>
    <w:rsid w:val="00DE1EDD"/>
    <w:rsid w:val="00DF322F"/>
    <w:rsid w:val="00E270E4"/>
    <w:rsid w:val="00E314BF"/>
    <w:rsid w:val="00E3605F"/>
    <w:rsid w:val="00E36EA8"/>
    <w:rsid w:val="00E37C83"/>
    <w:rsid w:val="00E51775"/>
    <w:rsid w:val="00E60D0B"/>
    <w:rsid w:val="00E62614"/>
    <w:rsid w:val="00E66467"/>
    <w:rsid w:val="00E971B4"/>
    <w:rsid w:val="00EB0AFA"/>
    <w:rsid w:val="00EB0FD7"/>
    <w:rsid w:val="00EC1F8E"/>
    <w:rsid w:val="00ED1551"/>
    <w:rsid w:val="00ED7DBA"/>
    <w:rsid w:val="00EE6512"/>
    <w:rsid w:val="00F10D79"/>
    <w:rsid w:val="00F25550"/>
    <w:rsid w:val="00F43969"/>
    <w:rsid w:val="00F55215"/>
    <w:rsid w:val="00F67433"/>
    <w:rsid w:val="00F70453"/>
    <w:rsid w:val="00F719AC"/>
    <w:rsid w:val="00F87224"/>
    <w:rsid w:val="00F94A06"/>
    <w:rsid w:val="00F94DB2"/>
    <w:rsid w:val="00F94E0D"/>
    <w:rsid w:val="00F954E0"/>
    <w:rsid w:val="00FA634A"/>
    <w:rsid w:val="00FB255C"/>
    <w:rsid w:val="00FB5285"/>
    <w:rsid w:val="00FC22EF"/>
    <w:rsid w:val="00FD482E"/>
    <w:rsid w:val="00FE3654"/>
    <w:rsid w:val="00FF13F4"/>
    <w:rsid w:val="00FF4E81"/>
    <w:rsid w:val="0259D225"/>
    <w:rsid w:val="040F316D"/>
    <w:rsid w:val="04682A23"/>
    <w:rsid w:val="0729A1AF"/>
    <w:rsid w:val="08EFA536"/>
    <w:rsid w:val="0AD7D67D"/>
    <w:rsid w:val="0C0D4F91"/>
    <w:rsid w:val="0D03BBDA"/>
    <w:rsid w:val="0D0A2316"/>
    <w:rsid w:val="0DB7DA59"/>
    <w:rsid w:val="0E3DBE7E"/>
    <w:rsid w:val="0EE846C0"/>
    <w:rsid w:val="0F1D6EF8"/>
    <w:rsid w:val="1010C5C0"/>
    <w:rsid w:val="10351085"/>
    <w:rsid w:val="103B29CB"/>
    <w:rsid w:val="109A1595"/>
    <w:rsid w:val="12EE6919"/>
    <w:rsid w:val="143AF054"/>
    <w:rsid w:val="16614A2E"/>
    <w:rsid w:val="16BA72A0"/>
    <w:rsid w:val="16CC6A3C"/>
    <w:rsid w:val="16D5AF3B"/>
    <w:rsid w:val="18D3822D"/>
    <w:rsid w:val="19281DDC"/>
    <w:rsid w:val="19E59322"/>
    <w:rsid w:val="1CF88E8C"/>
    <w:rsid w:val="1E15FDF3"/>
    <w:rsid w:val="1E2A25EB"/>
    <w:rsid w:val="1FD0D971"/>
    <w:rsid w:val="22ACF2FB"/>
    <w:rsid w:val="24C55949"/>
    <w:rsid w:val="24DF314C"/>
    <w:rsid w:val="24EAA7D9"/>
    <w:rsid w:val="2515B78A"/>
    <w:rsid w:val="26C3C002"/>
    <w:rsid w:val="2B206F5C"/>
    <w:rsid w:val="2B3CC66E"/>
    <w:rsid w:val="2B415E33"/>
    <w:rsid w:val="2B4291E2"/>
    <w:rsid w:val="30E700A0"/>
    <w:rsid w:val="322F5FEC"/>
    <w:rsid w:val="326CA6BC"/>
    <w:rsid w:val="354A1F71"/>
    <w:rsid w:val="36115596"/>
    <w:rsid w:val="3753CAD2"/>
    <w:rsid w:val="3A6C4533"/>
    <w:rsid w:val="3B92D6B9"/>
    <w:rsid w:val="3E2B5E74"/>
    <w:rsid w:val="3FC44CE4"/>
    <w:rsid w:val="41601D45"/>
    <w:rsid w:val="42018303"/>
    <w:rsid w:val="4402DF57"/>
    <w:rsid w:val="4424E4E1"/>
    <w:rsid w:val="45679F31"/>
    <w:rsid w:val="459BCC25"/>
    <w:rsid w:val="46BF0EF2"/>
    <w:rsid w:val="46F5DF56"/>
    <w:rsid w:val="470F91E2"/>
    <w:rsid w:val="4746E236"/>
    <w:rsid w:val="496A9C3B"/>
    <w:rsid w:val="4B1E239F"/>
    <w:rsid w:val="4C793F21"/>
    <w:rsid w:val="4CDD5E0B"/>
    <w:rsid w:val="4E792E6C"/>
    <w:rsid w:val="519B579F"/>
    <w:rsid w:val="52A5F537"/>
    <w:rsid w:val="540D5BE5"/>
    <w:rsid w:val="54CF4793"/>
    <w:rsid w:val="55F7ACD8"/>
    <w:rsid w:val="57BDAF15"/>
    <w:rsid w:val="57D14D1C"/>
    <w:rsid w:val="5913F274"/>
    <w:rsid w:val="59321497"/>
    <w:rsid w:val="5B025E02"/>
    <w:rsid w:val="5B628833"/>
    <w:rsid w:val="5BF4F205"/>
    <w:rsid w:val="5C591032"/>
    <w:rsid w:val="5C5FD026"/>
    <w:rsid w:val="5DCBA082"/>
    <w:rsid w:val="5EA2FC36"/>
    <w:rsid w:val="5EF42D44"/>
    <w:rsid w:val="60328F84"/>
    <w:rsid w:val="622B4A90"/>
    <w:rsid w:val="62427851"/>
    <w:rsid w:val="6324B39A"/>
    <w:rsid w:val="6329505D"/>
    <w:rsid w:val="6341E181"/>
    <w:rsid w:val="652FF9BD"/>
    <w:rsid w:val="653F2C16"/>
    <w:rsid w:val="688E253D"/>
    <w:rsid w:val="6B5C9A67"/>
    <w:rsid w:val="6C030A9E"/>
    <w:rsid w:val="6E641FA8"/>
    <w:rsid w:val="7116C2C3"/>
    <w:rsid w:val="71C918AE"/>
    <w:rsid w:val="72CE02C2"/>
    <w:rsid w:val="7323CFE1"/>
    <w:rsid w:val="782FAF12"/>
    <w:rsid w:val="7A895041"/>
    <w:rsid w:val="7C10159A"/>
    <w:rsid w:val="7C6799AC"/>
    <w:rsid w:val="7CA3D77D"/>
    <w:rsid w:val="7E720322"/>
    <w:rsid w:val="7F5E4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65DD"/>
  <w15:chartTrackingRefBased/>
  <w15:docId w15:val="{E2E546CE-68E6-4B7D-B769-72F65AB2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273"/>
  </w:style>
  <w:style w:type="paragraph" w:styleId="Heading1">
    <w:name w:val="heading 1"/>
    <w:basedOn w:val="Normal"/>
    <w:next w:val="Normal"/>
    <w:link w:val="Heading1Char"/>
    <w:uiPriority w:val="9"/>
    <w:qFormat/>
    <w:rsid w:val="00780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02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54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0214"/>
    <w:pPr>
      <w:spacing w:after="0" w:line="240" w:lineRule="auto"/>
    </w:pPr>
  </w:style>
  <w:style w:type="character" w:customStyle="1" w:styleId="Heading1Char">
    <w:name w:val="Heading 1 Char"/>
    <w:basedOn w:val="DefaultParagraphFont"/>
    <w:link w:val="Heading1"/>
    <w:uiPriority w:val="9"/>
    <w:rsid w:val="007802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0214"/>
    <w:pPr>
      <w:ind w:left="720"/>
      <w:contextualSpacing/>
    </w:pPr>
  </w:style>
  <w:style w:type="character" w:customStyle="1" w:styleId="Heading2Char">
    <w:name w:val="Heading 2 Char"/>
    <w:basedOn w:val="DefaultParagraphFont"/>
    <w:link w:val="Heading2"/>
    <w:uiPriority w:val="9"/>
    <w:rsid w:val="0078021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B7CFB"/>
    <w:rPr>
      <w:sz w:val="16"/>
      <w:szCs w:val="16"/>
    </w:rPr>
  </w:style>
  <w:style w:type="paragraph" w:styleId="CommentText">
    <w:name w:val="annotation text"/>
    <w:basedOn w:val="Normal"/>
    <w:link w:val="CommentTextChar"/>
    <w:uiPriority w:val="99"/>
    <w:unhideWhenUsed/>
    <w:rsid w:val="008B7CFB"/>
    <w:pPr>
      <w:spacing w:line="240" w:lineRule="auto"/>
    </w:pPr>
    <w:rPr>
      <w:sz w:val="20"/>
      <w:szCs w:val="20"/>
    </w:rPr>
  </w:style>
  <w:style w:type="character" w:customStyle="1" w:styleId="CommentTextChar">
    <w:name w:val="Comment Text Char"/>
    <w:basedOn w:val="DefaultParagraphFont"/>
    <w:link w:val="CommentText"/>
    <w:uiPriority w:val="99"/>
    <w:rsid w:val="008B7CFB"/>
    <w:rPr>
      <w:sz w:val="20"/>
      <w:szCs w:val="20"/>
    </w:rPr>
  </w:style>
  <w:style w:type="paragraph" w:styleId="CommentSubject">
    <w:name w:val="annotation subject"/>
    <w:basedOn w:val="CommentText"/>
    <w:next w:val="CommentText"/>
    <w:link w:val="CommentSubjectChar"/>
    <w:uiPriority w:val="99"/>
    <w:semiHidden/>
    <w:unhideWhenUsed/>
    <w:rsid w:val="008B7CFB"/>
    <w:rPr>
      <w:b/>
      <w:bCs/>
    </w:rPr>
  </w:style>
  <w:style w:type="character" w:customStyle="1" w:styleId="CommentSubjectChar">
    <w:name w:val="Comment Subject Char"/>
    <w:basedOn w:val="CommentTextChar"/>
    <w:link w:val="CommentSubject"/>
    <w:uiPriority w:val="99"/>
    <w:semiHidden/>
    <w:rsid w:val="008B7CFB"/>
    <w:rPr>
      <w:b/>
      <w:bCs/>
      <w:sz w:val="20"/>
      <w:szCs w:val="20"/>
    </w:rPr>
  </w:style>
  <w:style w:type="character" w:customStyle="1" w:styleId="Heading3Char">
    <w:name w:val="Heading 3 Char"/>
    <w:basedOn w:val="DefaultParagraphFont"/>
    <w:link w:val="Heading3"/>
    <w:uiPriority w:val="9"/>
    <w:semiHidden/>
    <w:rsid w:val="006154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6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1E"/>
  </w:style>
  <w:style w:type="paragraph" w:styleId="Footer">
    <w:name w:val="footer"/>
    <w:basedOn w:val="Normal"/>
    <w:link w:val="FooterChar"/>
    <w:uiPriority w:val="99"/>
    <w:unhideWhenUsed/>
    <w:rsid w:val="0036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1E"/>
  </w:style>
  <w:style w:type="character" w:styleId="Hyperlink">
    <w:name w:val="Hyperlink"/>
    <w:basedOn w:val="DefaultParagraphFont"/>
    <w:uiPriority w:val="99"/>
    <w:unhideWhenUsed/>
    <w:rsid w:val="00950DF5"/>
    <w:rPr>
      <w:color w:val="0563C1" w:themeColor="hyperlink"/>
      <w:u w:val="single"/>
    </w:rPr>
  </w:style>
  <w:style w:type="character" w:styleId="UnresolvedMention">
    <w:name w:val="Unresolved Mention"/>
    <w:basedOn w:val="DefaultParagraphFont"/>
    <w:uiPriority w:val="99"/>
    <w:semiHidden/>
    <w:unhideWhenUsed/>
    <w:rsid w:val="00950DF5"/>
    <w:rPr>
      <w:color w:val="605E5C"/>
      <w:shd w:val="clear" w:color="auto" w:fill="E1DFDD"/>
    </w:rPr>
  </w:style>
  <w:style w:type="character" w:customStyle="1" w:styleId="cf01">
    <w:name w:val="cf01"/>
    <w:basedOn w:val="DefaultParagraphFont"/>
    <w:rsid w:val="00C62725"/>
    <w:rPr>
      <w:rFonts w:ascii="Segoe UI" w:hAnsi="Segoe UI" w:cs="Segoe UI" w:hint="default"/>
      <w:sz w:val="18"/>
      <w:szCs w:val="18"/>
    </w:rPr>
  </w:style>
  <w:style w:type="character" w:customStyle="1" w:styleId="cf11">
    <w:name w:val="cf11"/>
    <w:basedOn w:val="DefaultParagraphFont"/>
    <w:rsid w:val="00C62725"/>
    <w:rPr>
      <w:rFonts w:ascii="Segoe UI" w:hAnsi="Segoe UI" w:cs="Segoe UI" w:hint="default"/>
      <w:sz w:val="18"/>
      <w:szCs w:val="18"/>
      <w:shd w:val="clear" w:color="auto" w:fill="FFFFFF"/>
    </w:rPr>
  </w:style>
  <w:style w:type="character" w:styleId="PlaceholderText">
    <w:name w:val="Placeholder Text"/>
    <w:basedOn w:val="DefaultParagraphFont"/>
    <w:uiPriority w:val="99"/>
    <w:semiHidden/>
    <w:rsid w:val="002248B8"/>
    <w:rPr>
      <w:color w:val="666666"/>
    </w:rPr>
  </w:style>
  <w:style w:type="paragraph" w:styleId="HTMLPreformatted">
    <w:name w:val="HTML Preformatted"/>
    <w:basedOn w:val="Normal"/>
    <w:link w:val="HTMLPreformattedChar"/>
    <w:uiPriority w:val="99"/>
    <w:semiHidden/>
    <w:unhideWhenUsed/>
    <w:rsid w:val="004401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4015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049">
      <w:bodyDiv w:val="1"/>
      <w:marLeft w:val="0"/>
      <w:marRight w:val="0"/>
      <w:marTop w:val="0"/>
      <w:marBottom w:val="0"/>
      <w:divBdr>
        <w:top w:val="none" w:sz="0" w:space="0" w:color="auto"/>
        <w:left w:val="none" w:sz="0" w:space="0" w:color="auto"/>
        <w:bottom w:val="none" w:sz="0" w:space="0" w:color="auto"/>
        <w:right w:val="none" w:sz="0" w:space="0" w:color="auto"/>
      </w:divBdr>
    </w:div>
    <w:div w:id="109976795">
      <w:bodyDiv w:val="1"/>
      <w:marLeft w:val="0"/>
      <w:marRight w:val="0"/>
      <w:marTop w:val="0"/>
      <w:marBottom w:val="0"/>
      <w:divBdr>
        <w:top w:val="none" w:sz="0" w:space="0" w:color="auto"/>
        <w:left w:val="none" w:sz="0" w:space="0" w:color="auto"/>
        <w:bottom w:val="none" w:sz="0" w:space="0" w:color="auto"/>
        <w:right w:val="none" w:sz="0" w:space="0" w:color="auto"/>
      </w:divBdr>
    </w:div>
    <w:div w:id="111285696">
      <w:bodyDiv w:val="1"/>
      <w:marLeft w:val="0"/>
      <w:marRight w:val="0"/>
      <w:marTop w:val="0"/>
      <w:marBottom w:val="0"/>
      <w:divBdr>
        <w:top w:val="none" w:sz="0" w:space="0" w:color="auto"/>
        <w:left w:val="none" w:sz="0" w:space="0" w:color="auto"/>
        <w:bottom w:val="none" w:sz="0" w:space="0" w:color="auto"/>
        <w:right w:val="none" w:sz="0" w:space="0" w:color="auto"/>
      </w:divBdr>
    </w:div>
    <w:div w:id="154877148">
      <w:bodyDiv w:val="1"/>
      <w:marLeft w:val="0"/>
      <w:marRight w:val="0"/>
      <w:marTop w:val="0"/>
      <w:marBottom w:val="0"/>
      <w:divBdr>
        <w:top w:val="none" w:sz="0" w:space="0" w:color="auto"/>
        <w:left w:val="none" w:sz="0" w:space="0" w:color="auto"/>
        <w:bottom w:val="none" w:sz="0" w:space="0" w:color="auto"/>
        <w:right w:val="none" w:sz="0" w:space="0" w:color="auto"/>
      </w:divBdr>
    </w:div>
    <w:div w:id="320735217">
      <w:bodyDiv w:val="1"/>
      <w:marLeft w:val="0"/>
      <w:marRight w:val="0"/>
      <w:marTop w:val="0"/>
      <w:marBottom w:val="0"/>
      <w:divBdr>
        <w:top w:val="none" w:sz="0" w:space="0" w:color="auto"/>
        <w:left w:val="none" w:sz="0" w:space="0" w:color="auto"/>
        <w:bottom w:val="none" w:sz="0" w:space="0" w:color="auto"/>
        <w:right w:val="none" w:sz="0" w:space="0" w:color="auto"/>
      </w:divBdr>
    </w:div>
    <w:div w:id="735783210">
      <w:bodyDiv w:val="1"/>
      <w:marLeft w:val="0"/>
      <w:marRight w:val="0"/>
      <w:marTop w:val="0"/>
      <w:marBottom w:val="0"/>
      <w:divBdr>
        <w:top w:val="none" w:sz="0" w:space="0" w:color="auto"/>
        <w:left w:val="none" w:sz="0" w:space="0" w:color="auto"/>
        <w:bottom w:val="none" w:sz="0" w:space="0" w:color="auto"/>
        <w:right w:val="none" w:sz="0" w:space="0" w:color="auto"/>
      </w:divBdr>
    </w:div>
    <w:div w:id="988051260">
      <w:bodyDiv w:val="1"/>
      <w:marLeft w:val="0"/>
      <w:marRight w:val="0"/>
      <w:marTop w:val="0"/>
      <w:marBottom w:val="0"/>
      <w:divBdr>
        <w:top w:val="none" w:sz="0" w:space="0" w:color="auto"/>
        <w:left w:val="none" w:sz="0" w:space="0" w:color="auto"/>
        <w:bottom w:val="none" w:sz="0" w:space="0" w:color="auto"/>
        <w:right w:val="none" w:sz="0" w:space="0" w:color="auto"/>
      </w:divBdr>
    </w:div>
    <w:div w:id="1752964921">
      <w:bodyDiv w:val="1"/>
      <w:marLeft w:val="0"/>
      <w:marRight w:val="0"/>
      <w:marTop w:val="0"/>
      <w:marBottom w:val="0"/>
      <w:divBdr>
        <w:top w:val="none" w:sz="0" w:space="0" w:color="auto"/>
        <w:left w:val="none" w:sz="0" w:space="0" w:color="auto"/>
        <w:bottom w:val="none" w:sz="0" w:space="0" w:color="auto"/>
        <w:right w:val="none" w:sz="0" w:space="0" w:color="auto"/>
      </w:divBdr>
    </w:div>
    <w:div w:id="1775395635">
      <w:bodyDiv w:val="1"/>
      <w:marLeft w:val="0"/>
      <w:marRight w:val="0"/>
      <w:marTop w:val="0"/>
      <w:marBottom w:val="0"/>
      <w:divBdr>
        <w:top w:val="none" w:sz="0" w:space="0" w:color="auto"/>
        <w:left w:val="none" w:sz="0" w:space="0" w:color="auto"/>
        <w:bottom w:val="none" w:sz="0" w:space="0" w:color="auto"/>
        <w:right w:val="none" w:sz="0" w:space="0" w:color="auto"/>
      </w:divBdr>
    </w:div>
    <w:div w:id="187773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SharedWithUsers xmlns="2ddeef39-65d3-4660-94f2-f063f949c57e">
      <UserInfo>
        <DisplayName>John Stover</DisplayName>
        <AccountId>2253</AccountId>
        <AccountType/>
      </UserInfo>
      <UserInfo>
        <DisplayName>WANYEKI, Ian</DisplayName>
        <AccountId>197</AccountId>
        <AccountType/>
      </UserInfo>
      <UserInfo>
        <DisplayName>MAHY, Mary</DisplayName>
        <AccountId>20</AccountId>
        <AccountType/>
      </UserInfo>
      <UserInfo>
        <DisplayName>Robert Glaubius</DisplayName>
        <AccountId>5514</AccountId>
        <AccountType/>
      </UserInfo>
      <UserInfo>
        <DisplayName>SABIN, Keith</DisplayName>
        <AccountId>25</AccountId>
        <AccountType/>
      </UserInfo>
      <UserInfo>
        <DisplayName>KORENROMP, Eline Louise</DisplayName>
        <AccountId>7579</AccountId>
        <AccountType/>
      </UserInfo>
      <UserInfo>
        <DisplayName>DAHER, Juliana</DisplayName>
        <AccountId>63</AccountId>
        <AccountType/>
      </UserInfo>
      <UserInfo>
        <DisplayName>Tim Brown</DisplayName>
        <AccountId>394</AccountId>
        <AccountType/>
      </UserInfo>
      <UserInfo>
        <DisplayName>EBY, Ehounoud Pascal</DisplayName>
        <AccountId>44</AccountId>
        <AccountType/>
      </UserInfo>
      <UserInfo>
        <DisplayName>FRESCURA, Luisa</DisplayName>
        <AccountId>27</AccountId>
        <AccountType/>
      </UserInfo>
      <UserInfo>
        <DisplayName>RWODZI, Desire Tarwireyi</DisplayName>
        <AccountId>4456</AccountId>
        <AccountType/>
      </UserInfo>
      <UserInfo>
        <DisplayName>YAKUSIK, Anna</DisplayName>
        <AccountId>38</AccountId>
        <AccountType/>
      </UserInfo>
      <UserInfo>
        <DisplayName>BRACAMONTE BARDALEZ, Patricia</DisplayName>
        <AccountId>1140</AccountId>
        <AccountType/>
      </UserInfo>
      <UserInfo>
        <DisplayName>GUICHARD, Anne-Claire</DisplayName>
        <AccountId>7676</AccountId>
        <AccountType/>
      </UserInfo>
      <UserInfo>
        <DisplayName>MORO, Liana</DisplayName>
        <AccountId>4650</AccountId>
        <AccountType/>
      </UserInfo>
      <UserInfo>
        <DisplayName>YANG, Titi</DisplayName>
        <AccountId>10923</AccountId>
        <AccountType/>
      </UserInfo>
      <UserInfo>
        <DisplayName>DANIEL, Isabel</DisplayName>
        <AccountId>11269</AccountId>
        <AccountType/>
      </UserInfo>
      <UserInfo>
        <DisplayName>EL RHILANI, Houssine</DisplayName>
        <AccountId>828</AccountId>
        <AccountType/>
      </UserInfo>
      <UserInfo>
        <DisplayName>EL HAJJI, Hind</DisplayName>
        <AccountId>11072</AccountId>
        <AccountType/>
      </UserInfo>
      <UserInfo>
        <DisplayName>FEIZZADEH, Ali</DisplayName>
        <AccountId>248</AccountId>
        <AccountType/>
      </UserInfo>
    </SharedWithUsers>
  </documentManagement>
</p:properties>
</file>

<file path=customXml/itemProps1.xml><?xml version="1.0" encoding="utf-8"?>
<ds:datastoreItem xmlns:ds="http://schemas.openxmlformats.org/officeDocument/2006/customXml" ds:itemID="{9D6B7500-C040-4731-89F1-8D4617D49AB3}">
  <ds:schemaRefs>
    <ds:schemaRef ds:uri="http://schemas.microsoft.com/sharepoint/v3/contenttype/forms"/>
  </ds:schemaRefs>
</ds:datastoreItem>
</file>

<file path=customXml/itemProps2.xml><?xml version="1.0" encoding="utf-8"?>
<ds:datastoreItem xmlns:ds="http://schemas.openxmlformats.org/officeDocument/2006/customXml" ds:itemID="{CC4275AD-E43B-4F29-A573-EB536E605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DA264-9CD3-4A62-8F85-E9F136C3D149}">
  <ds:schemaRefs>
    <ds:schemaRef ds:uri="http://schemas.microsoft.com/office/2006/metadata/properties"/>
    <ds:schemaRef ds:uri="http://schemas.microsoft.com/office/infopath/2007/PartnerControls"/>
    <ds:schemaRef ds:uri="288ef829-98c5-46d1-83dc-c2ef7c814da2"/>
    <ds:schemaRef ds:uri="2ddeef39-65d3-4660-94f2-f063f949c57e"/>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Stover</dc:creator>
  <cp:keywords/>
  <dc:description/>
  <cp:lastModifiedBy>KORENROMP, Eline Louise</cp:lastModifiedBy>
  <cp:revision>3</cp:revision>
  <dcterms:created xsi:type="dcterms:W3CDTF">2024-01-26T14:43:00Z</dcterms:created>
  <dcterms:modified xsi:type="dcterms:W3CDTF">2024-01-29T06:45:00Z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MediaServiceImageTags">
    <vt:lpwstr/>
  </property>
</Properties>
</file>