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E1367" w14:textId="77777777" w:rsidR="004A54BF" w:rsidRPr="004A54BF" w:rsidRDefault="004A54BF" w:rsidP="004A54BF">
      <w:pPr>
        <w:pStyle w:val="Style1"/>
        <w:rPr>
          <w:lang/>
        </w:rPr>
      </w:pPr>
      <w:r w:rsidRPr="004A54BF">
        <w:rPr>
          <w:rtl/>
        </w:rPr>
        <w:t>تحديثات برنامج</w:t>
      </w:r>
      <w:r w:rsidRPr="004A54BF">
        <w:rPr>
          <w:lang/>
        </w:rPr>
        <w:t xml:space="preserve"> Spectrum/AIM </w:t>
      </w:r>
      <w:r w:rsidRPr="004A54BF">
        <w:rPr>
          <w:rtl/>
        </w:rPr>
        <w:t>لجولة تقديرات فيروس نقص المناعة البشرية لعام 2026</w:t>
      </w:r>
    </w:p>
    <w:p w14:paraId="64FB1E0C"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الإصدار 02 يناير 2026</w:t>
      </w:r>
    </w:p>
    <w:p w14:paraId="10BCA514" w14:textId="77777777" w:rsidR="004A54BF" w:rsidRPr="004A54BF" w:rsidRDefault="004A54BF" w:rsidP="004A54BF">
      <w:pPr>
        <w:bidi/>
        <w:rPr>
          <w:rFonts w:ascii="Calibri" w:hAnsi="Calibri" w:cs="Calibri"/>
          <w:sz w:val="22"/>
          <w:szCs w:val="22"/>
          <w:lang/>
        </w:rPr>
      </w:pPr>
    </w:p>
    <w:p w14:paraId="3015A744" w14:textId="77777777" w:rsidR="004A54BF" w:rsidRPr="004A54BF" w:rsidRDefault="004A54BF" w:rsidP="004A54BF">
      <w:pPr>
        <w:pStyle w:val="Style2"/>
        <w:rPr>
          <w:lang/>
        </w:rPr>
      </w:pPr>
      <w:r w:rsidRPr="004A54BF">
        <w:rPr>
          <w:rtl/>
        </w:rPr>
        <w:t>مدخلات إحصاءات البرنامج</w:t>
      </w:r>
    </w:p>
    <w:p w14:paraId="49BE9B9E"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يمكن للمستخدمين الآن إدخال البيانات الإضافية التالية للبرنامج</w:t>
      </w:r>
    </w:p>
    <w:p w14:paraId="3064D3EA" w14:textId="3BD89B49" w:rsidR="004A54BF" w:rsidRPr="004A54BF" w:rsidRDefault="004A54BF" w:rsidP="004A54BF">
      <w:pPr>
        <w:bidi/>
        <w:rPr>
          <w:rFonts w:ascii="Calibri" w:hAnsi="Calibri" w:cs="Calibri"/>
          <w:sz w:val="22"/>
          <w:szCs w:val="22"/>
          <w:lang/>
        </w:rPr>
      </w:pPr>
      <w:r w:rsidRPr="004A54BF">
        <w:rPr>
          <w:rFonts w:ascii="Calibri" w:hAnsi="Calibri" w:cs="Calibri"/>
          <w:b/>
          <w:bCs/>
          <w:sz w:val="22"/>
          <w:szCs w:val="22"/>
          <w:rtl/>
        </w:rPr>
        <w:t>محرر</w:t>
      </w:r>
      <w:r w:rsidR="00A30B22">
        <w:rPr>
          <w:rFonts w:ascii="Calibri" w:hAnsi="Calibri" w:cs="Calibri" w:hint="eastAsia"/>
          <w:sz w:val="22"/>
          <w:szCs w:val="22"/>
          <w:lang w:eastAsia="ja-JP"/>
        </w:rPr>
        <w:t xml:space="preserve"> </w:t>
      </w:r>
      <w:r w:rsidR="00A30B22" w:rsidRPr="004A54BF">
        <w:rPr>
          <w:rFonts w:ascii="Calibri" w:hAnsi="Calibri" w:cs="Calibri"/>
          <w:sz w:val="22"/>
          <w:szCs w:val="22"/>
          <w:lang/>
        </w:rPr>
        <w:t>PrEP</w:t>
      </w:r>
      <w:r w:rsidR="00AF5915">
        <w:rPr>
          <w:rFonts w:ascii="Calibri" w:hAnsi="Calibri" w:cs="Calibri" w:hint="eastAsia"/>
          <w:sz w:val="22"/>
          <w:szCs w:val="22"/>
          <w:lang w:eastAsia="ja-JP"/>
        </w:rPr>
        <w:t xml:space="preserve"> </w:t>
      </w:r>
      <w:r w:rsidR="00A30B22">
        <w:rPr>
          <w:rFonts w:ascii="Calibri" w:hAnsi="Calibri" w:cs="Calibri" w:hint="eastAsia"/>
          <w:sz w:val="22"/>
          <w:szCs w:val="22"/>
          <w:lang w:eastAsia="ja-JP"/>
        </w:rPr>
        <w:t>:</w:t>
      </w:r>
      <w:r w:rsidR="00AF5915" w:rsidRPr="004A54BF">
        <w:rPr>
          <w:rFonts w:ascii="Calibri" w:hAnsi="Calibri" w:cs="Calibri"/>
          <w:b/>
          <w:bCs/>
          <w:sz w:val="22"/>
          <w:szCs w:val="22"/>
          <w:lang/>
        </w:rPr>
        <w:t>PMTCT</w:t>
      </w:r>
      <w:r w:rsidRPr="004A54BF">
        <w:rPr>
          <w:rFonts w:ascii="Calibri" w:hAnsi="Calibri" w:cs="Calibri"/>
          <w:sz w:val="22"/>
          <w:szCs w:val="22"/>
          <w:lang/>
        </w:rPr>
        <w:t xml:space="preserve"> </w:t>
      </w:r>
      <w:r w:rsidRPr="004A54BF">
        <w:rPr>
          <w:rFonts w:ascii="Calibri" w:hAnsi="Calibri" w:cs="Calibri"/>
          <w:sz w:val="22"/>
          <w:szCs w:val="22"/>
          <w:rtl/>
        </w:rPr>
        <w:t>للنساء الحوامل والمرضعات. تشمل المدخلات عدد الأشخاص الذين يتناولون</w:t>
      </w:r>
      <w:r w:rsidRPr="004A54BF">
        <w:rPr>
          <w:rFonts w:ascii="Calibri" w:hAnsi="Calibri" w:cs="Calibri"/>
          <w:sz w:val="22"/>
          <w:szCs w:val="22"/>
          <w:lang/>
        </w:rPr>
        <w:t xml:space="preserve"> PrEP </w:t>
      </w:r>
      <w:r w:rsidRPr="004A54BF">
        <w:rPr>
          <w:rFonts w:ascii="Calibri" w:hAnsi="Calibri" w:cs="Calibri"/>
          <w:sz w:val="22"/>
          <w:szCs w:val="22"/>
          <w:rtl/>
        </w:rPr>
        <w:t>الفموي اليومي أو</w:t>
      </w:r>
      <w:r w:rsidRPr="004A54BF">
        <w:rPr>
          <w:rFonts w:ascii="Calibri" w:hAnsi="Calibri" w:cs="Calibri"/>
          <w:sz w:val="22"/>
          <w:szCs w:val="22"/>
          <w:lang/>
        </w:rPr>
        <w:t xml:space="preserve"> PrEP </w:t>
      </w:r>
      <w:r w:rsidRPr="004A54BF">
        <w:rPr>
          <w:rFonts w:ascii="Calibri" w:hAnsi="Calibri" w:cs="Calibri"/>
          <w:sz w:val="22"/>
          <w:szCs w:val="22"/>
          <w:rtl/>
        </w:rPr>
        <w:t>طويل المفعول، بالإضافة إلى الالتزام حسب الطريقة، وسنوات الحماية لكل شخص يتناول</w:t>
      </w:r>
      <w:r w:rsidRPr="004A54BF">
        <w:rPr>
          <w:rFonts w:ascii="Calibri" w:hAnsi="Calibri" w:cs="Calibri"/>
          <w:sz w:val="22"/>
          <w:szCs w:val="22"/>
          <w:lang/>
        </w:rPr>
        <w:t xml:space="preserve"> PrEP </w:t>
      </w:r>
      <w:r w:rsidRPr="004A54BF">
        <w:rPr>
          <w:rFonts w:ascii="Calibri" w:hAnsi="Calibri" w:cs="Calibri"/>
          <w:sz w:val="22"/>
          <w:szCs w:val="22"/>
          <w:rtl/>
        </w:rPr>
        <w:t>حسب الطريقة، ونسبة خطر الإصابة لدى أولئك الذين يتناولون</w:t>
      </w:r>
      <w:r w:rsidRPr="004A54BF">
        <w:rPr>
          <w:rFonts w:ascii="Calibri" w:hAnsi="Calibri" w:cs="Calibri"/>
          <w:sz w:val="22"/>
          <w:szCs w:val="22"/>
          <w:lang/>
        </w:rPr>
        <w:t xml:space="preserve"> PrEP </w:t>
      </w:r>
      <w:r w:rsidRPr="004A54BF">
        <w:rPr>
          <w:rFonts w:ascii="Calibri" w:hAnsi="Calibri" w:cs="Calibri"/>
          <w:sz w:val="22"/>
          <w:szCs w:val="22"/>
          <w:rtl/>
        </w:rPr>
        <w:t>مقارنة بجميع النساء. وتستخدم هذه البيانات في السياق والتخطيط المستقبلي. لا نتوقع أن يكون لدى معظم البرامج بيانات عن</w:t>
      </w:r>
      <w:r w:rsidRPr="004A54BF">
        <w:rPr>
          <w:rFonts w:ascii="Calibri" w:hAnsi="Calibri" w:cs="Calibri"/>
          <w:sz w:val="22"/>
          <w:szCs w:val="22"/>
          <w:lang/>
        </w:rPr>
        <w:t xml:space="preserve"> PrEP </w:t>
      </w:r>
      <w:r w:rsidRPr="004A54BF">
        <w:rPr>
          <w:rFonts w:ascii="Calibri" w:hAnsi="Calibri" w:cs="Calibri"/>
          <w:sz w:val="22"/>
          <w:szCs w:val="22"/>
          <w:rtl/>
        </w:rPr>
        <w:t>للنساء الحوامل لعام 2025. إذا قمت بإدخال أرقام لعام 2025 أو الأعوام المقبلة، فسيؤدي ذلك إلى تقليل معدل الإصابة المقدر بين النساء الحوامل، ومعدل انتقال العدوى من الأم إلى الطفل، وعدد الإصابات الجديدة بين الأطفال</w:t>
      </w:r>
      <w:r w:rsidRPr="004A54BF">
        <w:rPr>
          <w:rFonts w:ascii="Calibri" w:hAnsi="Calibri" w:cs="Calibri"/>
          <w:sz w:val="22"/>
          <w:szCs w:val="22"/>
          <w:lang/>
        </w:rPr>
        <w:t xml:space="preserve">. </w:t>
      </w:r>
    </w:p>
    <w:p w14:paraId="272297D8" w14:textId="77777777" w:rsidR="004A54BF" w:rsidRPr="004A54BF" w:rsidRDefault="004A54BF" w:rsidP="004A54BF">
      <w:pPr>
        <w:bidi/>
        <w:rPr>
          <w:rFonts w:ascii="Calibri" w:hAnsi="Calibri" w:cs="Calibri"/>
          <w:sz w:val="22"/>
          <w:szCs w:val="22"/>
          <w:lang/>
        </w:rPr>
      </w:pPr>
    </w:p>
    <w:p w14:paraId="7527F928" w14:textId="77777777" w:rsidR="004A54BF" w:rsidRPr="004A54BF" w:rsidRDefault="004A54BF" w:rsidP="004A54BF">
      <w:pPr>
        <w:bidi/>
        <w:rPr>
          <w:rFonts w:ascii="Calibri" w:hAnsi="Calibri" w:cs="Calibri"/>
          <w:sz w:val="22"/>
          <w:szCs w:val="22"/>
          <w:lang/>
        </w:rPr>
      </w:pPr>
      <w:r w:rsidRPr="004A54BF">
        <w:rPr>
          <w:rFonts w:ascii="Calibri" w:hAnsi="Calibri" w:cs="Calibri"/>
          <w:b/>
          <w:bCs/>
          <w:sz w:val="22"/>
          <w:szCs w:val="22"/>
          <w:rtl/>
        </w:rPr>
        <w:t>العلاج المضاد للفيروسات القهقرية للبالغين:</w:t>
      </w:r>
      <w:r w:rsidRPr="004A54BF">
        <w:rPr>
          <w:rFonts w:ascii="Calibri" w:hAnsi="Calibri" w:cs="Calibri"/>
          <w:sz w:val="22"/>
          <w:szCs w:val="22"/>
          <w:rtl/>
        </w:rPr>
        <w:t xml:space="preserve"> تمت إضافة زر ”التحقق من معدلات الانقطاع“ ورسالة تحذيرية لتحديد الإدخالات التي يكون فيها الانخفاض في عدد الأشخاص الذين يتلقون العلاج المضاد للفيروسات القهقرية عن العام السابق أكبر مما يفسره معدل انقطاع العلاج المدخل. وهذا يشجع المستخدمين على تعديل معدل الانقطاع إلى مستوى أكثر معقولية. إذا لم يفعلوا ذلك، فلن ينخفض العدد النموذجي للأشخاص الذين يتلقون العلاج المضاد للفيروسات القهقرية بنفس قدر البيانات المدخلة، وبالتالي قد يتم التقليل من تقدير معدل الوفيات والإصابة في ذلك العام</w:t>
      </w:r>
      <w:r w:rsidRPr="004A54BF">
        <w:rPr>
          <w:rFonts w:ascii="Calibri" w:hAnsi="Calibri" w:cs="Calibri"/>
          <w:sz w:val="22"/>
          <w:szCs w:val="22"/>
          <w:lang/>
        </w:rPr>
        <w:t xml:space="preserve">. </w:t>
      </w:r>
    </w:p>
    <w:p w14:paraId="198E5C82" w14:textId="77777777" w:rsidR="004A54BF" w:rsidRPr="004A54BF" w:rsidRDefault="004A54BF" w:rsidP="004A54BF">
      <w:pPr>
        <w:bidi/>
        <w:rPr>
          <w:rFonts w:ascii="Calibri" w:hAnsi="Calibri" w:cs="Calibri"/>
          <w:sz w:val="22"/>
          <w:szCs w:val="22"/>
          <w:lang/>
        </w:rPr>
      </w:pPr>
    </w:p>
    <w:p w14:paraId="057FAD23" w14:textId="77777777" w:rsidR="004A54BF" w:rsidRPr="004A54BF" w:rsidRDefault="004A54BF" w:rsidP="000A71E4">
      <w:pPr>
        <w:pStyle w:val="Style2"/>
        <w:rPr>
          <w:lang/>
        </w:rPr>
      </w:pPr>
      <w:r w:rsidRPr="004A54BF">
        <w:rPr>
          <w:rtl/>
        </w:rPr>
        <w:t>الخيارات والمعلمات المتقدمة</w:t>
      </w:r>
    </w:p>
    <w:p w14:paraId="0E21DD40"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 xml:space="preserve">تم تحديث معدلات الوفيات بين الأطفال الذين يتلقون العلاج المضاد للفيروسات </w:t>
      </w:r>
      <w:proofErr w:type="spellStart"/>
      <w:r w:rsidRPr="004A54BF">
        <w:rPr>
          <w:rFonts w:ascii="Calibri" w:hAnsi="Calibri" w:cs="Calibri"/>
          <w:sz w:val="22"/>
          <w:szCs w:val="22"/>
          <w:rtl/>
        </w:rPr>
        <w:t>القهقرية</w:t>
      </w:r>
      <w:proofErr w:type="spellEnd"/>
      <w:r w:rsidRPr="004A54BF">
        <w:rPr>
          <w:rFonts w:ascii="Calibri" w:hAnsi="Calibri" w:cs="Calibri"/>
          <w:sz w:val="22"/>
          <w:szCs w:val="22"/>
          <w:rtl/>
        </w:rPr>
        <w:t xml:space="preserve"> إلى أحدث المعدلات الصادرة عن اتحاد</w:t>
      </w:r>
      <w:r w:rsidRPr="004A54BF">
        <w:rPr>
          <w:rFonts w:ascii="Calibri" w:hAnsi="Calibri" w:cs="Calibri"/>
          <w:sz w:val="22"/>
          <w:szCs w:val="22"/>
          <w:lang/>
        </w:rPr>
        <w:t xml:space="preserve"> IeDEA. </w:t>
      </w:r>
      <w:r w:rsidRPr="004A54BF">
        <w:rPr>
          <w:rFonts w:ascii="Calibri" w:hAnsi="Calibri" w:cs="Calibri"/>
          <w:sz w:val="22"/>
          <w:szCs w:val="22"/>
          <w:rtl/>
        </w:rPr>
        <w:t xml:space="preserve">سيحتاج المستخدمون إلى تحديد الخيارات المتقدمة </w:t>
      </w:r>
      <w:r w:rsidRPr="004A54BF">
        <w:rPr>
          <w:rFonts w:ascii="Calibri" w:hAnsi="Calibri" w:cs="Calibri"/>
          <w:sz w:val="22"/>
          <w:szCs w:val="22"/>
          <w:lang/>
        </w:rPr>
        <w:t xml:space="preserve">&gt; </w:t>
      </w:r>
      <w:r w:rsidRPr="004A54BF">
        <w:rPr>
          <w:rFonts w:ascii="Calibri" w:hAnsi="Calibri" w:cs="Calibri"/>
          <w:sz w:val="22"/>
          <w:szCs w:val="22"/>
          <w:rtl/>
        </w:rPr>
        <w:t>معلمات الانتقال إلى طب الأطفال والنقر على ”استعادة جميع قيم الانتقال الافتراضية والخروج“ لإدخال المعدلات المحدثة. سيؤدي ذلك إلى زيادة أو نقصان طفيف في وفيات الأطفال الذين يتلقون العلاج المضاد للفيروسات القهقرية، ولكن في معظم البلدان، سيكون التغيير طفيفًا، بنسبة 1٪ إلى 2٪</w:t>
      </w:r>
      <w:r w:rsidRPr="004A54BF">
        <w:rPr>
          <w:rFonts w:ascii="Calibri" w:hAnsi="Calibri" w:cs="Calibri"/>
          <w:sz w:val="22"/>
          <w:szCs w:val="22"/>
          <w:lang/>
        </w:rPr>
        <w:t>.</w:t>
      </w:r>
    </w:p>
    <w:p w14:paraId="4431A94E"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تأثير العلاج المضاد للفيروسات القهقرية على انتقال العدوى: يقتصر هذا الحساب الآن على السنوات التي خضع فيها أكثر من 50٪ من مرضى العلاج المضاد للفيروسات القهقرية لاختبار الحمل الفيروسي، لضمان التمثيلية. إذا كانت هناك أقل من 3 سنوات من البيانات التي تستوفي هذا الشرط، فسيتم استخدام التخفيض الافتراضي</w:t>
      </w:r>
      <w:r w:rsidRPr="004A54BF">
        <w:rPr>
          <w:rFonts w:ascii="Calibri" w:hAnsi="Calibri" w:cs="Calibri"/>
          <w:sz w:val="22"/>
          <w:szCs w:val="22"/>
          <w:lang/>
        </w:rPr>
        <w:t xml:space="preserve"> (0.75).</w:t>
      </w:r>
    </w:p>
    <w:p w14:paraId="4038F2FF" w14:textId="77777777" w:rsidR="004A54BF" w:rsidRPr="004A54BF" w:rsidRDefault="004A54BF" w:rsidP="004A54BF">
      <w:pPr>
        <w:bidi/>
        <w:rPr>
          <w:rFonts w:ascii="Calibri" w:hAnsi="Calibri" w:cs="Calibri"/>
          <w:sz w:val="22"/>
          <w:szCs w:val="22"/>
          <w:lang/>
        </w:rPr>
      </w:pPr>
    </w:p>
    <w:p w14:paraId="63CEFC6C" w14:textId="77777777" w:rsidR="004A54BF" w:rsidRPr="004A54BF" w:rsidRDefault="004A54BF" w:rsidP="000A71E4">
      <w:pPr>
        <w:pStyle w:val="Style2"/>
        <w:rPr>
          <w:lang/>
        </w:rPr>
      </w:pPr>
      <w:r w:rsidRPr="004A54BF">
        <w:rPr>
          <w:rtl/>
        </w:rPr>
        <w:t>نموذج حدوث</w:t>
      </w:r>
      <w:r w:rsidRPr="004A54BF">
        <w:rPr>
          <w:lang/>
        </w:rPr>
        <w:t xml:space="preserve"> CSAVR / </w:t>
      </w:r>
      <w:r w:rsidRPr="004A54BF">
        <w:rPr>
          <w:rtl/>
        </w:rPr>
        <w:t>بيانات الوفيات بسبب الإيدز</w:t>
      </w:r>
    </w:p>
    <w:p w14:paraId="16B6A8A2"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لتقييم المدخلات الأكثر صحة للوفيات المنسوبة إلى الإيدز (بين البالغين 15+ سنة) لنمذجة الحدوث بشكل أفضل، يمكن للمستخدمين الآن رسم ومقارنة مصادر بيانات الوفيات بسبب الإيدز البديلة (على سبيل المثال، مع أو بدون تعديل لأسباب الوفيات المصنفة بشكل خاطئ) داخل محرر بيانات</w:t>
      </w:r>
      <w:r w:rsidRPr="004A54BF">
        <w:rPr>
          <w:rFonts w:ascii="Calibri" w:hAnsi="Calibri" w:cs="Calibri"/>
          <w:sz w:val="22"/>
          <w:szCs w:val="22"/>
          <w:lang/>
        </w:rPr>
        <w:t xml:space="preserve"> CSAVR</w:t>
      </w:r>
      <w:r w:rsidRPr="004A54BF">
        <w:rPr>
          <w:rFonts w:ascii="Calibri" w:hAnsi="Calibri" w:cs="Calibri"/>
          <w:sz w:val="22"/>
          <w:szCs w:val="22"/>
          <w:rtl/>
        </w:rPr>
        <w:t>، باستخدام الزر ”رسم الوفيات بسبب الإيدز حسب المصدر</w:t>
      </w:r>
      <w:r w:rsidRPr="004A54BF">
        <w:rPr>
          <w:rFonts w:ascii="Calibri" w:hAnsi="Calibri" w:cs="Calibri"/>
          <w:sz w:val="22"/>
          <w:szCs w:val="22"/>
          <w:lang/>
        </w:rPr>
        <w:t>“.</w:t>
      </w:r>
    </w:p>
    <w:p w14:paraId="787009D1" w14:textId="77777777" w:rsidR="004A54BF" w:rsidRPr="004A54BF" w:rsidRDefault="004A54BF" w:rsidP="004A54BF">
      <w:pPr>
        <w:bidi/>
        <w:rPr>
          <w:rFonts w:ascii="Calibri" w:hAnsi="Calibri" w:cs="Calibri"/>
          <w:sz w:val="22"/>
          <w:szCs w:val="22"/>
          <w:lang/>
        </w:rPr>
      </w:pPr>
    </w:p>
    <w:p w14:paraId="7D359540" w14:textId="77777777" w:rsidR="004A54BF" w:rsidRPr="004A54BF" w:rsidRDefault="004A54BF" w:rsidP="004A54BF">
      <w:pPr>
        <w:bidi/>
        <w:rPr>
          <w:rFonts w:ascii="Calibri" w:hAnsi="Calibri" w:cs="Calibri"/>
          <w:sz w:val="22"/>
          <w:szCs w:val="22"/>
          <w:lang/>
        </w:rPr>
      </w:pPr>
    </w:p>
    <w:p w14:paraId="0BABC20C" w14:textId="77777777" w:rsidR="004A54BF" w:rsidRPr="004A54BF" w:rsidRDefault="004A54BF" w:rsidP="000A71E4">
      <w:pPr>
        <w:pStyle w:val="Style2"/>
        <w:rPr>
          <w:lang/>
        </w:rPr>
      </w:pPr>
      <w:r w:rsidRPr="004A54BF">
        <w:rPr>
          <w:rtl/>
        </w:rPr>
        <w:lastRenderedPageBreak/>
        <w:t>أداة مقامات الوقاية</w:t>
      </w:r>
    </w:p>
    <w:p w14:paraId="573FFB55"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تتيح هذه الأداة الجديدة، التي يمكن الوصول إليها من خلال قائمة ”الأدوات“ في</w:t>
      </w:r>
      <w:r w:rsidRPr="004A54BF">
        <w:rPr>
          <w:rFonts w:ascii="Calibri" w:hAnsi="Calibri" w:cs="Calibri"/>
          <w:sz w:val="22"/>
          <w:szCs w:val="22"/>
          <w:lang/>
        </w:rPr>
        <w:t xml:space="preserve"> Spectrum</w:t>
      </w:r>
      <w:r w:rsidRPr="004A54BF">
        <w:rPr>
          <w:rFonts w:ascii="Calibri" w:hAnsi="Calibri" w:cs="Calibri"/>
          <w:sz w:val="22"/>
          <w:szCs w:val="22"/>
          <w:rtl/>
        </w:rPr>
        <w:t xml:space="preserve">، للمستخدم تقدير الاحتياجات بناءً على الأهداف المحددة لمختلف خدمات الوقاية: الواقي الذكري، </w:t>
      </w:r>
      <w:r w:rsidRPr="004A54BF">
        <w:rPr>
          <w:rFonts w:ascii="Calibri" w:hAnsi="Calibri" w:cs="Calibri"/>
          <w:sz w:val="22"/>
          <w:szCs w:val="22"/>
          <w:lang/>
        </w:rPr>
        <w:t>PrEP</w:t>
      </w:r>
      <w:r w:rsidRPr="004A54BF">
        <w:rPr>
          <w:rFonts w:ascii="Calibri" w:hAnsi="Calibri" w:cs="Calibri"/>
          <w:sz w:val="22"/>
          <w:szCs w:val="22"/>
          <w:rtl/>
        </w:rPr>
        <w:t>، الختان الطبي الطوعي للذكور، والخدمات المقدمة للفئات السكانية الرئيسية. تم ملء حجم السكان (لعام 2025 والمتوقع لعام 2030) وتغطية الخدمات على مستوى عام 2025 ومعدلات عدم التوافق المصلي لفيروس نقص المناعة البشرية</w:t>
      </w:r>
      <w:r w:rsidRPr="004A54BF">
        <w:rPr>
          <w:rFonts w:ascii="Calibri" w:hAnsi="Calibri" w:cs="Calibri"/>
          <w:sz w:val="22"/>
          <w:szCs w:val="22"/>
          <w:lang/>
        </w:rPr>
        <w:t xml:space="preserve"> (</w:t>
      </w:r>
      <w:r w:rsidRPr="004A54BF">
        <w:rPr>
          <w:rFonts w:ascii="Calibri" w:hAnsi="Calibri" w:cs="Calibri"/>
          <w:sz w:val="22"/>
          <w:szCs w:val="22"/>
          <w:rtl/>
        </w:rPr>
        <w:t>ذات الصلة باحتياجات</w:t>
      </w:r>
      <w:r w:rsidRPr="004A54BF">
        <w:rPr>
          <w:rFonts w:ascii="Calibri" w:hAnsi="Calibri" w:cs="Calibri"/>
          <w:sz w:val="22"/>
          <w:szCs w:val="22"/>
          <w:lang/>
        </w:rPr>
        <w:t xml:space="preserve"> PrEP) </w:t>
      </w:r>
      <w:r w:rsidRPr="004A54BF">
        <w:rPr>
          <w:rFonts w:ascii="Calibri" w:hAnsi="Calibri" w:cs="Calibri"/>
          <w:sz w:val="22"/>
          <w:szCs w:val="22"/>
          <w:rtl/>
        </w:rPr>
        <w:t>مسبقًا بناءً على البيانات المنشورة التي أبلغت عنها البلدان (بما في ذلك على سبيل المثال لا الحصر تقارير الرصد العالمي للإيدز) أو قواعد البيانات العامة الموحدة الأخرى (المسوحات الوطنية للأسر المعيشية؛ تقديرات حجم السكان الموحدة لبرنامج الأمم المتحدة المشترك المعني بفيروس نقص المناعة البشرية/الإيدز، والتي تُستخدم أيضًا لوضع أهداف الأهداف، وتخطيط الاستدامة، وتقديرات الإصابة بين الفئات السكانية الرئيسية على الصعيدين العالمي والإقليمي)</w:t>
      </w:r>
      <w:r w:rsidRPr="004A54BF">
        <w:rPr>
          <w:rFonts w:ascii="Calibri" w:hAnsi="Calibri" w:cs="Calibri"/>
          <w:sz w:val="22"/>
          <w:szCs w:val="22"/>
          <w:lang/>
        </w:rPr>
        <w:t>.</w:t>
      </w:r>
    </w:p>
    <w:p w14:paraId="4C99D5D4"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تستند أحجام الفئات السكانية الرئيسية إلى تقديرات حجم السكان الوطنية المستخدمة في جولة 2025 من معايرة نموذج الأهداف. أما أعداد النساء الحوامل المصابات بفيروس نقص المناعة البشرية فهي مأخوذة من ملفات</w:t>
      </w:r>
      <w:r w:rsidRPr="004A54BF">
        <w:rPr>
          <w:rFonts w:ascii="Calibri" w:hAnsi="Calibri" w:cs="Calibri"/>
          <w:sz w:val="22"/>
          <w:szCs w:val="22"/>
          <w:lang/>
        </w:rPr>
        <w:t xml:space="preserve"> Spectrum AIM </w:t>
      </w:r>
      <w:r w:rsidRPr="004A54BF">
        <w:rPr>
          <w:rFonts w:ascii="Calibri" w:hAnsi="Calibri" w:cs="Calibri"/>
          <w:sz w:val="22"/>
          <w:szCs w:val="22"/>
          <w:rtl/>
        </w:rPr>
        <w:t>الوطنية لعام 2025، وقد تم تقدير أزواج التباين المصلي من معدل الانتشار في ملفات</w:t>
      </w:r>
      <w:r w:rsidRPr="004A54BF">
        <w:rPr>
          <w:rFonts w:ascii="Calibri" w:hAnsi="Calibri" w:cs="Calibri"/>
          <w:sz w:val="22"/>
          <w:szCs w:val="22"/>
          <w:lang/>
        </w:rPr>
        <w:t xml:space="preserve"> AIM </w:t>
      </w:r>
      <w:r w:rsidRPr="004A54BF">
        <w:rPr>
          <w:rFonts w:ascii="Calibri" w:hAnsi="Calibri" w:cs="Calibri"/>
          <w:sz w:val="22"/>
          <w:szCs w:val="22"/>
          <w:rtl/>
        </w:rPr>
        <w:t>هذه. أما العدد الإجمالي للمستفيدين من العلاج الوقائي قبل التعرض للفيروس في عام 2024 فقد تم أخذه من</w:t>
      </w:r>
      <w:r w:rsidRPr="004A54BF">
        <w:rPr>
          <w:rFonts w:ascii="Calibri" w:hAnsi="Calibri" w:cs="Calibri"/>
          <w:sz w:val="22"/>
          <w:szCs w:val="22"/>
          <w:lang/>
        </w:rPr>
        <w:t xml:space="preserve"> GAM</w:t>
      </w:r>
      <w:r w:rsidRPr="004A54BF">
        <w:rPr>
          <w:rFonts w:ascii="Calibri" w:hAnsi="Calibri" w:cs="Calibri"/>
          <w:sz w:val="22"/>
          <w:szCs w:val="22"/>
          <w:rtl/>
        </w:rPr>
        <w:t>؛ ونظراً لعدم توفر بيانات شاملة عن المستفيدين من العلاج الوقائي قبل التعرض للفيروس حسب كل فئة سكانية رئيسية على حدة، فقد تم توزيعهم بالتناسب على الفئات السكانية الفرعية. يمكن للمستخدمين تغيير أي من هذه المدخلات إذا كانت لديهم بيانات أحدث</w:t>
      </w:r>
      <w:r w:rsidRPr="004A54BF">
        <w:rPr>
          <w:rFonts w:ascii="Calibri" w:hAnsi="Calibri" w:cs="Calibri"/>
          <w:sz w:val="22"/>
          <w:szCs w:val="22"/>
          <w:lang/>
        </w:rPr>
        <w:t xml:space="preserve">. </w:t>
      </w:r>
    </w:p>
    <w:p w14:paraId="44ACF9B6"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لا تهدف هذه الأداة إلى استبدال الأدوات الحالية</w:t>
      </w:r>
      <w:r w:rsidRPr="004A54BF">
        <w:rPr>
          <w:rFonts w:ascii="Calibri" w:hAnsi="Calibri" w:cs="Calibri"/>
          <w:sz w:val="22"/>
          <w:szCs w:val="22"/>
          <w:lang/>
        </w:rPr>
        <w:t xml:space="preserve"> (PrEP-it </w:t>
      </w:r>
      <w:r w:rsidRPr="004A54BF">
        <w:rPr>
          <w:rFonts w:ascii="Calibri" w:hAnsi="Calibri" w:cs="Calibri"/>
          <w:sz w:val="22"/>
          <w:szCs w:val="22"/>
          <w:rtl/>
        </w:rPr>
        <w:t>و</w:t>
      </w:r>
      <w:r w:rsidRPr="004A54BF">
        <w:rPr>
          <w:rFonts w:ascii="Calibri" w:hAnsi="Calibri" w:cs="Calibri"/>
          <w:sz w:val="22"/>
          <w:szCs w:val="22"/>
          <w:lang/>
        </w:rPr>
        <w:t xml:space="preserve"> DMPPT2 </w:t>
      </w:r>
      <w:r w:rsidRPr="004A54BF">
        <w:rPr>
          <w:rFonts w:ascii="Calibri" w:hAnsi="Calibri" w:cs="Calibri"/>
          <w:sz w:val="22"/>
          <w:szCs w:val="22"/>
          <w:rtl/>
        </w:rPr>
        <w:t>وأداة تقدير احتياجات الواقي الذكري</w:t>
      </w:r>
      <w:r w:rsidRPr="004A54BF">
        <w:rPr>
          <w:rFonts w:ascii="Calibri" w:hAnsi="Calibri" w:cs="Calibri"/>
          <w:sz w:val="22"/>
          <w:szCs w:val="22"/>
          <w:lang/>
        </w:rPr>
        <w:t xml:space="preserve">) </w:t>
      </w:r>
      <w:r w:rsidRPr="004A54BF">
        <w:rPr>
          <w:rFonts w:ascii="Calibri" w:hAnsi="Calibri" w:cs="Calibri"/>
          <w:sz w:val="22"/>
          <w:szCs w:val="22"/>
          <w:rtl/>
        </w:rPr>
        <w:t>التي تحتوي على تفاصيل إضافية، بل تهدف إلى توفير تقييم سريع للاحتياجات كجزء من عملية التقديرات</w:t>
      </w:r>
      <w:r w:rsidRPr="004A54BF">
        <w:rPr>
          <w:rFonts w:ascii="Calibri" w:hAnsi="Calibri" w:cs="Calibri"/>
          <w:sz w:val="22"/>
          <w:szCs w:val="22"/>
          <w:lang/>
        </w:rPr>
        <w:t xml:space="preserve">. </w:t>
      </w:r>
    </w:p>
    <w:p w14:paraId="3AF490D6"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بالنسبة للبلدان ذات الأولوية في مجال الختان الطبي الذكري الطوعي</w:t>
      </w:r>
      <w:r w:rsidRPr="004A54BF">
        <w:rPr>
          <w:rFonts w:ascii="Calibri" w:hAnsi="Calibri" w:cs="Calibri"/>
          <w:sz w:val="22"/>
          <w:szCs w:val="22"/>
          <w:lang/>
        </w:rPr>
        <w:t xml:space="preserve"> (VMMC)</w:t>
      </w:r>
      <w:r w:rsidRPr="004A54BF">
        <w:rPr>
          <w:rFonts w:ascii="Calibri" w:hAnsi="Calibri" w:cs="Calibri"/>
          <w:sz w:val="22"/>
          <w:szCs w:val="22"/>
          <w:rtl/>
        </w:rPr>
        <w:t>، يتم تحديد أهداف الختان حسب المنطقة كما تم إدخالها في أداة</w:t>
      </w:r>
      <w:r w:rsidRPr="004A54BF">
        <w:rPr>
          <w:rFonts w:ascii="Calibri" w:hAnsi="Calibri" w:cs="Calibri"/>
          <w:sz w:val="22"/>
          <w:szCs w:val="22"/>
          <w:lang/>
        </w:rPr>
        <w:t xml:space="preserve"> DMPPT2. </w:t>
      </w:r>
      <w:r w:rsidRPr="004A54BF">
        <w:rPr>
          <w:rFonts w:ascii="Calibri" w:hAnsi="Calibri" w:cs="Calibri"/>
          <w:sz w:val="22"/>
          <w:szCs w:val="22"/>
          <w:rtl/>
        </w:rPr>
        <w:t>يمكن للمستخدمين تحديث أي من المدخلات، ولكننا نتوقع منهم التركيز بشكل أساسي على تحديد أهداف عام 2030 ودراسة الاحتياجات الناتجة عن ذلك</w:t>
      </w:r>
      <w:r w:rsidRPr="004A54BF">
        <w:rPr>
          <w:rFonts w:ascii="Calibri" w:hAnsi="Calibri" w:cs="Calibri"/>
          <w:sz w:val="22"/>
          <w:szCs w:val="22"/>
          <w:lang/>
        </w:rPr>
        <w:t xml:space="preserve">. </w:t>
      </w:r>
    </w:p>
    <w:p w14:paraId="536533CA" w14:textId="77777777" w:rsidR="004A54BF" w:rsidRPr="004A54BF" w:rsidRDefault="004A54BF" w:rsidP="004A54BF">
      <w:pPr>
        <w:bidi/>
        <w:rPr>
          <w:rFonts w:ascii="Calibri" w:hAnsi="Calibri" w:cs="Calibri"/>
          <w:sz w:val="22"/>
          <w:szCs w:val="22"/>
          <w:lang/>
        </w:rPr>
      </w:pPr>
    </w:p>
    <w:p w14:paraId="6C80A240" w14:textId="77777777" w:rsidR="004A54BF" w:rsidRPr="004A54BF" w:rsidRDefault="004A54BF" w:rsidP="00024E79">
      <w:pPr>
        <w:pStyle w:val="Style2"/>
        <w:rPr>
          <w:lang/>
        </w:rPr>
      </w:pPr>
      <w:r w:rsidRPr="004A54BF">
        <w:rPr>
          <w:rtl/>
        </w:rPr>
        <w:t>إصدارات البرنامج</w:t>
      </w:r>
    </w:p>
    <w:p w14:paraId="1DDD513C" w14:textId="77777777" w:rsidR="004A54BF" w:rsidRPr="004A54BF" w:rsidRDefault="004A54BF" w:rsidP="004A54BF">
      <w:pPr>
        <w:bidi/>
        <w:rPr>
          <w:rFonts w:ascii="Calibri" w:hAnsi="Calibri" w:cs="Calibri"/>
          <w:sz w:val="22"/>
          <w:szCs w:val="22"/>
          <w:lang/>
        </w:rPr>
      </w:pPr>
      <w:r w:rsidRPr="004A54BF">
        <w:rPr>
          <w:rFonts w:ascii="Calibri" w:hAnsi="Calibri" w:cs="Calibri"/>
          <w:sz w:val="22"/>
          <w:szCs w:val="22"/>
          <w:rtl/>
        </w:rPr>
        <w:t>يتوفر برنامج</w:t>
      </w:r>
      <w:r w:rsidRPr="004A54BF">
        <w:rPr>
          <w:rFonts w:ascii="Calibri" w:hAnsi="Calibri" w:cs="Calibri"/>
          <w:sz w:val="22"/>
          <w:szCs w:val="22"/>
          <w:lang/>
        </w:rPr>
        <w:t xml:space="preserve"> Spectrum </w:t>
      </w:r>
      <w:r w:rsidRPr="004A54BF">
        <w:rPr>
          <w:rFonts w:ascii="Calibri" w:hAnsi="Calibri" w:cs="Calibri"/>
          <w:sz w:val="22"/>
          <w:szCs w:val="22"/>
          <w:rtl/>
        </w:rPr>
        <w:t>الآن في نسختين</w:t>
      </w:r>
      <w:r w:rsidRPr="004A54BF">
        <w:rPr>
          <w:rFonts w:ascii="Calibri" w:hAnsi="Calibri" w:cs="Calibri"/>
          <w:sz w:val="22"/>
          <w:szCs w:val="22"/>
          <w:lang/>
        </w:rPr>
        <w:t>:</w:t>
      </w:r>
    </w:p>
    <w:p w14:paraId="4E82387F" w14:textId="07C1819E" w:rsidR="004A54BF" w:rsidRPr="00024E79" w:rsidRDefault="004A54BF" w:rsidP="00024E79">
      <w:pPr>
        <w:pStyle w:val="Paragraphedeliste"/>
        <w:numPr>
          <w:ilvl w:val="0"/>
          <w:numId w:val="6"/>
        </w:numPr>
        <w:bidi/>
        <w:rPr>
          <w:rFonts w:ascii="Calibri" w:hAnsi="Calibri" w:cs="Calibri"/>
          <w:sz w:val="22"/>
          <w:szCs w:val="22"/>
          <w:lang/>
        </w:rPr>
      </w:pPr>
      <w:r w:rsidRPr="00024E79">
        <w:rPr>
          <w:rFonts w:ascii="Calibri" w:hAnsi="Calibri" w:cs="Calibri"/>
          <w:sz w:val="22"/>
          <w:szCs w:val="22"/>
          <w:rtl/>
        </w:rPr>
        <w:t>نسخة المكتب لنظام</w:t>
      </w:r>
      <w:r w:rsidRPr="00024E79">
        <w:rPr>
          <w:rFonts w:ascii="Calibri" w:hAnsi="Calibri" w:cs="Calibri"/>
          <w:sz w:val="22"/>
          <w:szCs w:val="22"/>
          <w:lang/>
        </w:rPr>
        <w:t xml:space="preserve"> Windows</w:t>
      </w:r>
      <w:r w:rsidRPr="00024E79">
        <w:rPr>
          <w:rFonts w:ascii="Calibri" w:hAnsi="Calibri" w:cs="Calibri"/>
          <w:sz w:val="22"/>
          <w:szCs w:val="22"/>
          <w:rtl/>
        </w:rPr>
        <w:t xml:space="preserve">، والتي يجب تنزيلها وتثبيتها على جهاز </w:t>
      </w:r>
      <w:proofErr w:type="gramStart"/>
      <w:r w:rsidRPr="00024E79">
        <w:rPr>
          <w:rFonts w:ascii="Calibri" w:hAnsi="Calibri" w:cs="Calibri"/>
          <w:sz w:val="22"/>
          <w:szCs w:val="22"/>
          <w:rtl/>
        </w:rPr>
        <w:t>الكمبيوتر</w:t>
      </w:r>
      <w:proofErr w:type="gramEnd"/>
      <w:r w:rsidRPr="00024E79">
        <w:rPr>
          <w:rFonts w:ascii="Calibri" w:hAnsi="Calibri" w:cs="Calibri"/>
          <w:sz w:val="22"/>
          <w:szCs w:val="22"/>
          <w:rtl/>
        </w:rPr>
        <w:t xml:space="preserve"> الخاص بك، و</w:t>
      </w:r>
    </w:p>
    <w:p w14:paraId="74BE47D6" w14:textId="25962FB7" w:rsidR="004A54BF" w:rsidRPr="00024E79" w:rsidRDefault="004A54BF" w:rsidP="00024E79">
      <w:pPr>
        <w:pStyle w:val="Paragraphedeliste"/>
        <w:numPr>
          <w:ilvl w:val="0"/>
          <w:numId w:val="6"/>
        </w:numPr>
        <w:bidi/>
        <w:rPr>
          <w:rFonts w:ascii="Calibri" w:hAnsi="Calibri" w:cs="Calibri"/>
          <w:sz w:val="22"/>
          <w:szCs w:val="22"/>
          <w:lang/>
        </w:rPr>
      </w:pPr>
      <w:r w:rsidRPr="00024E79">
        <w:rPr>
          <w:rFonts w:ascii="Calibri" w:hAnsi="Calibri" w:cs="Calibri"/>
          <w:sz w:val="22"/>
          <w:szCs w:val="22"/>
          <w:rtl/>
        </w:rPr>
        <w:t>نسخة عبر الإنترنت، تتضمن الآن جميع وظائف نسخة المكتب، بما في ذلك</w:t>
      </w:r>
      <w:r w:rsidRPr="00024E79">
        <w:rPr>
          <w:rFonts w:ascii="Calibri" w:hAnsi="Calibri" w:cs="Calibri"/>
          <w:sz w:val="22"/>
          <w:szCs w:val="22"/>
          <w:lang/>
        </w:rPr>
        <w:t xml:space="preserve"> EPP </w:t>
      </w:r>
      <w:proofErr w:type="gramStart"/>
      <w:r w:rsidRPr="00024E79">
        <w:rPr>
          <w:rFonts w:ascii="Calibri" w:hAnsi="Calibri" w:cs="Calibri"/>
          <w:sz w:val="22"/>
          <w:szCs w:val="22"/>
          <w:rtl/>
        </w:rPr>
        <w:t>و</w:t>
      </w:r>
      <w:r w:rsidRPr="00024E79">
        <w:rPr>
          <w:rFonts w:ascii="Calibri" w:hAnsi="Calibri" w:cs="Calibri"/>
          <w:sz w:val="22"/>
          <w:szCs w:val="22"/>
          <w:lang/>
        </w:rPr>
        <w:t xml:space="preserve"> CSAVR</w:t>
      </w:r>
      <w:proofErr w:type="gramEnd"/>
      <w:r w:rsidRPr="00024E79">
        <w:rPr>
          <w:rFonts w:ascii="Calibri" w:hAnsi="Calibri" w:cs="Calibri"/>
          <w:sz w:val="22"/>
          <w:szCs w:val="22"/>
          <w:lang/>
        </w:rPr>
        <w:t xml:space="preserve"> </w:t>
      </w:r>
      <w:proofErr w:type="gramStart"/>
      <w:r w:rsidRPr="00024E79">
        <w:rPr>
          <w:rFonts w:ascii="Calibri" w:hAnsi="Calibri" w:cs="Calibri"/>
          <w:sz w:val="22"/>
          <w:szCs w:val="22"/>
          <w:rtl/>
        </w:rPr>
        <w:t>و</w:t>
      </w:r>
      <w:r w:rsidRPr="00024E79">
        <w:rPr>
          <w:rFonts w:ascii="Calibri" w:hAnsi="Calibri" w:cs="Calibri"/>
          <w:sz w:val="22"/>
          <w:szCs w:val="22"/>
          <w:lang/>
        </w:rPr>
        <w:t xml:space="preserve"> Shiny90</w:t>
      </w:r>
      <w:proofErr w:type="gramEnd"/>
      <w:r w:rsidRPr="00024E79">
        <w:rPr>
          <w:rFonts w:ascii="Calibri" w:hAnsi="Calibri" w:cs="Calibri"/>
          <w:sz w:val="22"/>
          <w:szCs w:val="22"/>
          <w:lang/>
        </w:rPr>
        <w:t xml:space="preserve">. </w:t>
      </w:r>
    </w:p>
    <w:p w14:paraId="42D6C591" w14:textId="77777777" w:rsidR="004A54BF" w:rsidRPr="004A54BF" w:rsidRDefault="004A54BF" w:rsidP="004A54BF">
      <w:pPr>
        <w:bidi/>
        <w:rPr>
          <w:rFonts w:ascii="Calibri" w:hAnsi="Calibri" w:cs="Calibri"/>
          <w:sz w:val="22"/>
          <w:szCs w:val="22"/>
          <w:lang/>
        </w:rPr>
      </w:pPr>
    </w:p>
    <w:p w14:paraId="299E5212" w14:textId="77777777" w:rsidR="00E13CFA" w:rsidRPr="00EF72D7" w:rsidRDefault="00E13CFA" w:rsidP="004A54BF">
      <w:pPr>
        <w:bidi/>
        <w:rPr>
          <w:rFonts w:ascii="Calibri" w:hAnsi="Calibri" w:cs="Calibri"/>
          <w:sz w:val="22"/>
          <w:szCs w:val="22"/>
          <w:lang/>
        </w:rPr>
      </w:pPr>
    </w:p>
    <w:sectPr w:rsidR="00E13CFA" w:rsidRPr="00EF7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7DCD"/>
    <w:multiLevelType w:val="hybridMultilevel"/>
    <w:tmpl w:val="77742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B2436"/>
    <w:multiLevelType w:val="hybridMultilevel"/>
    <w:tmpl w:val="77742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D211A6"/>
    <w:multiLevelType w:val="hybridMultilevel"/>
    <w:tmpl w:val="2BE8CCD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D9123FB"/>
    <w:multiLevelType w:val="hybridMultilevel"/>
    <w:tmpl w:val="1E448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2CC2D6C"/>
    <w:multiLevelType w:val="hybridMultilevel"/>
    <w:tmpl w:val="DED088F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B9A6C7D"/>
    <w:multiLevelType w:val="hybridMultilevel"/>
    <w:tmpl w:val="7C36C63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241330081">
    <w:abstractNumId w:val="0"/>
  </w:num>
  <w:num w:numId="2" w16cid:durableId="1875382595">
    <w:abstractNumId w:val="1"/>
  </w:num>
  <w:num w:numId="3" w16cid:durableId="820535438">
    <w:abstractNumId w:val="4"/>
  </w:num>
  <w:num w:numId="4" w16cid:durableId="860045283">
    <w:abstractNumId w:val="2"/>
  </w:num>
  <w:num w:numId="5" w16cid:durableId="1172068615">
    <w:abstractNumId w:val="3"/>
  </w:num>
  <w:num w:numId="6" w16cid:durableId="1293898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3"/>
    <w:rsid w:val="00020264"/>
    <w:rsid w:val="00024A8A"/>
    <w:rsid w:val="00024E79"/>
    <w:rsid w:val="00036C93"/>
    <w:rsid w:val="00042CBD"/>
    <w:rsid w:val="00043440"/>
    <w:rsid w:val="000760DA"/>
    <w:rsid w:val="00076393"/>
    <w:rsid w:val="00092BD2"/>
    <w:rsid w:val="000A71E4"/>
    <w:rsid w:val="000D1ECF"/>
    <w:rsid w:val="000D6164"/>
    <w:rsid w:val="000E64FE"/>
    <w:rsid w:val="000F738D"/>
    <w:rsid w:val="00112CCA"/>
    <w:rsid w:val="00144D6B"/>
    <w:rsid w:val="00157DCE"/>
    <w:rsid w:val="001670B6"/>
    <w:rsid w:val="00183BDD"/>
    <w:rsid w:val="001939A6"/>
    <w:rsid w:val="001B1E75"/>
    <w:rsid w:val="001C251C"/>
    <w:rsid w:val="001D4801"/>
    <w:rsid w:val="001E6496"/>
    <w:rsid w:val="00200052"/>
    <w:rsid w:val="002545EE"/>
    <w:rsid w:val="00260640"/>
    <w:rsid w:val="0026157F"/>
    <w:rsid w:val="00294DDB"/>
    <w:rsid w:val="0029695A"/>
    <w:rsid w:val="002A1817"/>
    <w:rsid w:val="002A28B1"/>
    <w:rsid w:val="002B1E7E"/>
    <w:rsid w:val="003644EF"/>
    <w:rsid w:val="00382B62"/>
    <w:rsid w:val="003950E2"/>
    <w:rsid w:val="003B434A"/>
    <w:rsid w:val="003D4301"/>
    <w:rsid w:val="003F231B"/>
    <w:rsid w:val="00406695"/>
    <w:rsid w:val="00414729"/>
    <w:rsid w:val="0042505F"/>
    <w:rsid w:val="0043392C"/>
    <w:rsid w:val="00434ADC"/>
    <w:rsid w:val="00470B06"/>
    <w:rsid w:val="00472CB7"/>
    <w:rsid w:val="004A54BF"/>
    <w:rsid w:val="004A6B03"/>
    <w:rsid w:val="004C2316"/>
    <w:rsid w:val="004E02C0"/>
    <w:rsid w:val="004F61EB"/>
    <w:rsid w:val="005161AA"/>
    <w:rsid w:val="0052142B"/>
    <w:rsid w:val="0052472B"/>
    <w:rsid w:val="00534118"/>
    <w:rsid w:val="00535A10"/>
    <w:rsid w:val="00537C75"/>
    <w:rsid w:val="00584955"/>
    <w:rsid w:val="005C5164"/>
    <w:rsid w:val="005E48D5"/>
    <w:rsid w:val="005E6773"/>
    <w:rsid w:val="005F24D4"/>
    <w:rsid w:val="005F4C5E"/>
    <w:rsid w:val="00626761"/>
    <w:rsid w:val="006373B7"/>
    <w:rsid w:val="006424DE"/>
    <w:rsid w:val="00691D15"/>
    <w:rsid w:val="006A6F9C"/>
    <w:rsid w:val="006B46E9"/>
    <w:rsid w:val="006D0BC3"/>
    <w:rsid w:val="006F7FC6"/>
    <w:rsid w:val="00711227"/>
    <w:rsid w:val="0071523F"/>
    <w:rsid w:val="007219D5"/>
    <w:rsid w:val="00740A99"/>
    <w:rsid w:val="00746703"/>
    <w:rsid w:val="00756A32"/>
    <w:rsid w:val="0076482D"/>
    <w:rsid w:val="00767C69"/>
    <w:rsid w:val="00771A15"/>
    <w:rsid w:val="007874ED"/>
    <w:rsid w:val="00792FD6"/>
    <w:rsid w:val="007A5E6A"/>
    <w:rsid w:val="007B3AC9"/>
    <w:rsid w:val="007E2A93"/>
    <w:rsid w:val="007F478E"/>
    <w:rsid w:val="0080543C"/>
    <w:rsid w:val="00812D77"/>
    <w:rsid w:val="00821AA6"/>
    <w:rsid w:val="00842D61"/>
    <w:rsid w:val="00843B5C"/>
    <w:rsid w:val="008A081F"/>
    <w:rsid w:val="008D0DF8"/>
    <w:rsid w:val="008D2C8A"/>
    <w:rsid w:val="008F62C2"/>
    <w:rsid w:val="009005DE"/>
    <w:rsid w:val="00914D41"/>
    <w:rsid w:val="009306AB"/>
    <w:rsid w:val="0094018F"/>
    <w:rsid w:val="009A7EE2"/>
    <w:rsid w:val="009C1198"/>
    <w:rsid w:val="009D305F"/>
    <w:rsid w:val="009E3A2C"/>
    <w:rsid w:val="009E611F"/>
    <w:rsid w:val="00A21A32"/>
    <w:rsid w:val="00A279FD"/>
    <w:rsid w:val="00A30B22"/>
    <w:rsid w:val="00A43F01"/>
    <w:rsid w:val="00A6278D"/>
    <w:rsid w:val="00AC0B28"/>
    <w:rsid w:val="00AE293E"/>
    <w:rsid w:val="00AE429E"/>
    <w:rsid w:val="00AE48FB"/>
    <w:rsid w:val="00AF5915"/>
    <w:rsid w:val="00AF71B7"/>
    <w:rsid w:val="00B11884"/>
    <w:rsid w:val="00B15BBB"/>
    <w:rsid w:val="00B424C2"/>
    <w:rsid w:val="00B47495"/>
    <w:rsid w:val="00B53454"/>
    <w:rsid w:val="00B64B9E"/>
    <w:rsid w:val="00B77D64"/>
    <w:rsid w:val="00B80D0D"/>
    <w:rsid w:val="00B84363"/>
    <w:rsid w:val="00B90471"/>
    <w:rsid w:val="00B95476"/>
    <w:rsid w:val="00BA7DEB"/>
    <w:rsid w:val="00BB08C4"/>
    <w:rsid w:val="00BB16D1"/>
    <w:rsid w:val="00BB2A29"/>
    <w:rsid w:val="00BD4205"/>
    <w:rsid w:val="00BE41E8"/>
    <w:rsid w:val="00BE5C49"/>
    <w:rsid w:val="00C10189"/>
    <w:rsid w:val="00C42E9E"/>
    <w:rsid w:val="00C506D5"/>
    <w:rsid w:val="00C56CCD"/>
    <w:rsid w:val="00C650CA"/>
    <w:rsid w:val="00C77763"/>
    <w:rsid w:val="00CA3C2A"/>
    <w:rsid w:val="00CA72E2"/>
    <w:rsid w:val="00CB11E9"/>
    <w:rsid w:val="00CE6DCA"/>
    <w:rsid w:val="00CF663C"/>
    <w:rsid w:val="00D5346C"/>
    <w:rsid w:val="00D9274E"/>
    <w:rsid w:val="00DB41CB"/>
    <w:rsid w:val="00DD4F7E"/>
    <w:rsid w:val="00E13CFA"/>
    <w:rsid w:val="00E1627F"/>
    <w:rsid w:val="00E40432"/>
    <w:rsid w:val="00E44FEA"/>
    <w:rsid w:val="00E47CA9"/>
    <w:rsid w:val="00E71B72"/>
    <w:rsid w:val="00E72C88"/>
    <w:rsid w:val="00E76AD9"/>
    <w:rsid w:val="00ED186E"/>
    <w:rsid w:val="00EF1F48"/>
    <w:rsid w:val="00EF72D7"/>
    <w:rsid w:val="00F10F1E"/>
    <w:rsid w:val="00F166DC"/>
    <w:rsid w:val="00F20617"/>
    <w:rsid w:val="00F21E28"/>
    <w:rsid w:val="00F445B6"/>
    <w:rsid w:val="00F632B5"/>
    <w:rsid w:val="00F8194C"/>
    <w:rsid w:val="00FA7C7B"/>
    <w:rsid w:val="00FB2D93"/>
    <w:rsid w:val="00FC565C"/>
    <w:rsid w:val="00FD36D3"/>
    <w:rsid w:val="00FD78AF"/>
    <w:rsid w:val="00FE1468"/>
    <w:rsid w:val="00FE2350"/>
    <w:rsid w:val="00FF031C"/>
    <w:rsid w:val="00FF5695"/>
    <w:rsid w:val="2CFF1DBB"/>
    <w:rsid w:val="6396F3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0943"/>
  <w15:chartTrackingRefBased/>
  <w15:docId w15:val="{40C6EBB0-32D5-457D-A94F-24C6476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B2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FB2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B2D9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B2D9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B2D9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B2D9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B2D9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B2D9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B2D9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2D9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B2D9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B2D9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B2D9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B2D9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B2D9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B2D9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B2D9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B2D93"/>
    <w:rPr>
      <w:rFonts w:eastAsiaTheme="majorEastAsia" w:cstheme="majorBidi"/>
      <w:color w:val="272727" w:themeColor="text1" w:themeTint="D8"/>
    </w:rPr>
  </w:style>
  <w:style w:type="paragraph" w:styleId="Titre">
    <w:name w:val="Title"/>
    <w:basedOn w:val="Normal"/>
    <w:next w:val="Normal"/>
    <w:link w:val="TitreCar"/>
    <w:uiPriority w:val="10"/>
    <w:qFormat/>
    <w:rsid w:val="00FB2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B2D9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B2D9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B2D9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B2D93"/>
    <w:pPr>
      <w:spacing w:before="160"/>
      <w:jc w:val="center"/>
    </w:pPr>
    <w:rPr>
      <w:i/>
      <w:iCs/>
      <w:color w:val="404040" w:themeColor="text1" w:themeTint="BF"/>
    </w:rPr>
  </w:style>
  <w:style w:type="character" w:customStyle="1" w:styleId="CitationCar">
    <w:name w:val="Citation Car"/>
    <w:basedOn w:val="Policepardfaut"/>
    <w:link w:val="Citation"/>
    <w:uiPriority w:val="29"/>
    <w:rsid w:val="00FB2D93"/>
    <w:rPr>
      <w:i/>
      <w:iCs/>
      <w:color w:val="404040" w:themeColor="text1" w:themeTint="BF"/>
    </w:rPr>
  </w:style>
  <w:style w:type="paragraph" w:styleId="Paragraphedeliste">
    <w:name w:val="List Paragraph"/>
    <w:basedOn w:val="Normal"/>
    <w:uiPriority w:val="34"/>
    <w:qFormat/>
    <w:rsid w:val="00FB2D93"/>
    <w:pPr>
      <w:ind w:left="720"/>
      <w:contextualSpacing/>
    </w:pPr>
  </w:style>
  <w:style w:type="character" w:styleId="Accentuationintense">
    <w:name w:val="Intense Emphasis"/>
    <w:basedOn w:val="Policepardfaut"/>
    <w:uiPriority w:val="21"/>
    <w:qFormat/>
    <w:rsid w:val="00FB2D93"/>
    <w:rPr>
      <w:i/>
      <w:iCs/>
      <w:color w:val="0F4761" w:themeColor="accent1" w:themeShade="BF"/>
    </w:rPr>
  </w:style>
  <w:style w:type="paragraph" w:styleId="Citationintense">
    <w:name w:val="Intense Quote"/>
    <w:basedOn w:val="Normal"/>
    <w:next w:val="Normal"/>
    <w:link w:val="CitationintenseCar"/>
    <w:uiPriority w:val="30"/>
    <w:qFormat/>
    <w:rsid w:val="00FB2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B2D93"/>
    <w:rPr>
      <w:i/>
      <w:iCs/>
      <w:color w:val="0F4761" w:themeColor="accent1" w:themeShade="BF"/>
    </w:rPr>
  </w:style>
  <w:style w:type="character" w:styleId="Rfrenceintense">
    <w:name w:val="Intense Reference"/>
    <w:basedOn w:val="Policepardfaut"/>
    <w:uiPriority w:val="32"/>
    <w:qFormat/>
    <w:rsid w:val="00FB2D93"/>
    <w:rPr>
      <w:b/>
      <w:bCs/>
      <w:smallCaps/>
      <w:color w:val="0F4761" w:themeColor="accent1" w:themeShade="BF"/>
      <w:spacing w:val="5"/>
    </w:rPr>
  </w:style>
  <w:style w:type="character" w:styleId="Marquedecommentaire">
    <w:name w:val="annotation reference"/>
    <w:basedOn w:val="Policepardfaut"/>
    <w:uiPriority w:val="99"/>
    <w:semiHidden/>
    <w:unhideWhenUsed/>
    <w:rsid w:val="0043392C"/>
    <w:rPr>
      <w:sz w:val="16"/>
      <w:szCs w:val="16"/>
    </w:rPr>
  </w:style>
  <w:style w:type="paragraph" w:styleId="Commentaire">
    <w:name w:val="annotation text"/>
    <w:basedOn w:val="Normal"/>
    <w:link w:val="CommentaireCar"/>
    <w:uiPriority w:val="99"/>
    <w:unhideWhenUsed/>
    <w:rsid w:val="0043392C"/>
    <w:pPr>
      <w:spacing w:line="240" w:lineRule="auto"/>
    </w:pPr>
    <w:rPr>
      <w:sz w:val="20"/>
      <w:szCs w:val="20"/>
    </w:rPr>
  </w:style>
  <w:style w:type="character" w:customStyle="1" w:styleId="CommentaireCar">
    <w:name w:val="Commentaire Car"/>
    <w:basedOn w:val="Policepardfaut"/>
    <w:link w:val="Commentaire"/>
    <w:uiPriority w:val="99"/>
    <w:rsid w:val="0043392C"/>
    <w:rPr>
      <w:sz w:val="20"/>
      <w:szCs w:val="20"/>
    </w:rPr>
  </w:style>
  <w:style w:type="paragraph" w:styleId="Objetducommentaire">
    <w:name w:val="annotation subject"/>
    <w:basedOn w:val="Commentaire"/>
    <w:next w:val="Commentaire"/>
    <w:link w:val="ObjetducommentaireCar"/>
    <w:uiPriority w:val="99"/>
    <w:semiHidden/>
    <w:unhideWhenUsed/>
    <w:rsid w:val="0043392C"/>
    <w:rPr>
      <w:b/>
      <w:bCs/>
    </w:rPr>
  </w:style>
  <w:style w:type="character" w:customStyle="1" w:styleId="ObjetducommentaireCar">
    <w:name w:val="Objet du commentaire Car"/>
    <w:basedOn w:val="CommentaireCar"/>
    <w:link w:val="Objetducommentaire"/>
    <w:uiPriority w:val="99"/>
    <w:semiHidden/>
    <w:rsid w:val="0043392C"/>
    <w:rPr>
      <w:b/>
      <w:bCs/>
      <w:sz w:val="20"/>
      <w:szCs w:val="20"/>
    </w:rPr>
  </w:style>
  <w:style w:type="paragraph" w:styleId="Rvision">
    <w:name w:val="Revision"/>
    <w:hidden/>
    <w:uiPriority w:val="99"/>
    <w:semiHidden/>
    <w:rsid w:val="00092BD2"/>
    <w:pPr>
      <w:spacing w:after="0" w:line="240" w:lineRule="auto"/>
    </w:pPr>
  </w:style>
  <w:style w:type="paragraph" w:customStyle="1" w:styleId="Style1">
    <w:name w:val="Style1"/>
    <w:basedOn w:val="Titre1"/>
    <w:link w:val="Style1Char"/>
    <w:qFormat/>
    <w:rsid w:val="004A54BF"/>
    <w:pPr>
      <w:bidi/>
    </w:pPr>
    <w:rPr>
      <w:rFonts w:ascii="Calibri" w:hAnsi="Calibri" w:cs="Calibri"/>
      <w:b/>
      <w:bCs/>
      <w:sz w:val="22"/>
      <w:szCs w:val="22"/>
    </w:rPr>
  </w:style>
  <w:style w:type="character" w:customStyle="1" w:styleId="Style1Char">
    <w:name w:val="Style1 Char"/>
    <w:basedOn w:val="Titre1Car"/>
    <w:link w:val="Style1"/>
    <w:rsid w:val="004A54BF"/>
    <w:rPr>
      <w:rFonts w:ascii="Calibri" w:eastAsiaTheme="majorEastAsia" w:hAnsi="Calibri" w:cs="Calibri"/>
      <w:b/>
      <w:bCs/>
      <w:color w:val="0F4761" w:themeColor="accent1" w:themeShade="BF"/>
      <w:sz w:val="22"/>
      <w:szCs w:val="22"/>
    </w:rPr>
  </w:style>
  <w:style w:type="paragraph" w:customStyle="1" w:styleId="Style2">
    <w:name w:val="Style2"/>
    <w:basedOn w:val="Titre2"/>
    <w:link w:val="Style2Char"/>
    <w:qFormat/>
    <w:rsid w:val="004A54BF"/>
    <w:pPr>
      <w:bidi/>
      <w:spacing w:before="40" w:after="0" w:line="259" w:lineRule="auto"/>
    </w:pPr>
    <w:rPr>
      <w:rFonts w:ascii="Calibri" w:hAnsi="Calibri" w:cs="Calibri"/>
      <w:b/>
      <w:bCs/>
      <w:kern w:val="0"/>
      <w:sz w:val="22"/>
      <w:szCs w:val="22"/>
      <w14:ligatures w14:val="none"/>
    </w:rPr>
  </w:style>
  <w:style w:type="character" w:customStyle="1" w:styleId="Style2Char">
    <w:name w:val="Style2 Char"/>
    <w:basedOn w:val="Titre2Car"/>
    <w:link w:val="Style2"/>
    <w:rsid w:val="004A54BF"/>
    <w:rPr>
      <w:rFonts w:ascii="Calibri" w:eastAsiaTheme="majorEastAsia" w:hAnsi="Calibri" w:cs="Calibri"/>
      <w:b/>
      <w:bCs/>
      <w:color w:val="0F4761" w:themeColor="accent1" w:themeShade="BF"/>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88ef829-98c5-46d1-83dc-c2ef7c814da2" xsi:nil="true"/>
    <TaxCatchAll xmlns="2ddeef39-65d3-4660-94f2-f063f949c57e" xsi:nil="true"/>
    <_ip_UnifiedCompliancePolicyProperties xmlns="http://schemas.microsoft.com/sharepoint/v3" xsi:nil="true"/>
    <lcf76f155ced4ddcb4097134ff3c332f xmlns="288ef829-98c5-46d1-83dc-c2ef7c814da2">
      <Terms xmlns="http://schemas.microsoft.com/office/infopath/2007/PartnerControls"/>
    </lcf76f155ced4ddcb4097134ff3c332f>
    <PrimeLastClassified xmlns="2ddeef39-65d3-4660-94f2-f063f949c57e" xsi:nil="true"/>
    <Language xmlns="288ef829-98c5-46d1-83dc-c2ef7c814da2">Arabic</Language>
    <Summary_x002f_Abstract xmlns="288ef829-98c5-46d1-83dc-c2ef7c814da2">The document outlines updates and new features in the Spectrum/AIM program for the 2026 HIV estimates round, including enhancements to data entry, new tools for prevention needs estimation, and updated mortality rates and modeling options.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DocumentTitle xmlns="288ef829-98c5-46d1-83dc-c2ef7c814da2">What's New in Spectrum 2026</DocumentTitle>
    <ReviewFrequency xmlns="288ef829-98c5-46d1-83dc-c2ef7c814da2">12 months</ReviewFrequency>
    <PrimeClassificationStatus xmlns="2ddeef39-65d3-4660-94f2-f063f949c57e" xsi:nil="true"/>
    <DownloadCategory xmlns="288ef829-98c5-46d1-83dc-c2ef7c814da2">Tool</DownloadCategory>
    <ContentOwner xmlns="288ef829-98c5-46d1-83dc-c2ef7c814da2">Eline Louise Korenromp</ContentOwner>
    <Region xmlns="288ef829-98c5-46d1-83dc-c2ef7c814da2">Global</Region>
    <ThematicArea xmlns="288ef829-98c5-46d1-83dc-c2ef7c814da2" xsi:nil="true"/>
    <DocumentName xmlns="288ef829-98c5-46d1-83dc-c2ef7c814da2" xsi:nil="true"/>
  </documentManagement>
</p:properties>
</file>

<file path=customXml/itemProps1.xml><?xml version="1.0" encoding="utf-8"?>
<ds:datastoreItem xmlns:ds="http://schemas.openxmlformats.org/officeDocument/2006/customXml" ds:itemID="{E0852C42-5D4C-437E-BB92-9E9038C54948}"/>
</file>

<file path=customXml/itemProps2.xml><?xml version="1.0" encoding="utf-8"?>
<ds:datastoreItem xmlns:ds="http://schemas.openxmlformats.org/officeDocument/2006/customXml" ds:itemID="{C56B5292-0DF0-4C4C-8E96-979733DE71DB}">
  <ds:schemaRefs>
    <ds:schemaRef ds:uri="http://schemas.microsoft.com/sharepoint/v3/contenttype/forms"/>
  </ds:schemaRefs>
</ds:datastoreItem>
</file>

<file path=customXml/itemProps3.xml><?xml version="1.0" encoding="utf-8"?>
<ds:datastoreItem xmlns:ds="http://schemas.openxmlformats.org/officeDocument/2006/customXml" ds:itemID="{55C999D4-8473-49BC-A179-226AD8830FED}">
  <ds:schemaRefs>
    <ds:schemaRef ds:uri="http://schemas.microsoft.com/office/2006/metadata/properties"/>
    <ds:schemaRef ds:uri="http://schemas.microsoft.com/office/infopath/2007/PartnerControls"/>
    <ds:schemaRef ds:uri="http://schemas.microsoft.com/sharepoint/v3"/>
    <ds:schemaRef ds:uri="288ef829-98c5-46d1-83dc-c2ef7c814da2"/>
    <ds:schemaRef ds:uri="2ddeef39-65d3-4660-94f2-f063f949c57e"/>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3941</Characters>
  <Application>Microsoft Office Word</Application>
  <DocSecurity>0</DocSecurity>
  <Lines>32</Lines>
  <Paragraphs>9</Paragraphs>
  <ScaleCrop>false</ScaleCrop>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Stover</dc:creator>
  <cp:keywords/>
  <dc:description/>
  <cp:lastModifiedBy>EL RHILANI, Houssine</cp:lastModifiedBy>
  <cp:revision>2</cp:revision>
  <dcterms:created xsi:type="dcterms:W3CDTF">2026-01-27T10:27:00Z</dcterms:created>
  <dcterms:modified xsi:type="dcterms:W3CDTF">2026-01-27T10:27:00Z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y fmtid="{D5CDD505-2E9C-101B-9397-08002B2CF9AE}" pid="4" name="docLang">
    <vt:lpwstr>en</vt:lpwstr>
  </property>
</Properties>
</file>