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B9063" w14:textId="75C03763" w:rsidR="16002E5E" w:rsidRPr="00525869" w:rsidRDefault="060AEC77" w:rsidP="1BD1694C">
      <w:pPr>
        <w:pStyle w:val="Style1"/>
        <w:rPr>
          <w:lang w:val="pt-BR"/>
        </w:rPr>
      </w:pPr>
      <w:r w:rsidRPr="75B8D105">
        <w:rPr>
          <w:lang w:val="pt-BR"/>
        </w:rPr>
        <w:t>Atualizações do software Spectrum/AIM para a ro</w:t>
      </w:r>
      <w:r w:rsidR="07EC3436" w:rsidRPr="75B8D105">
        <w:rPr>
          <w:lang w:val="pt-BR"/>
        </w:rPr>
        <w:t xml:space="preserve">nda </w:t>
      </w:r>
      <w:r w:rsidRPr="75B8D105">
        <w:rPr>
          <w:lang w:val="pt-BR"/>
        </w:rPr>
        <w:t>d</w:t>
      </w:r>
      <w:r w:rsidR="737B182C" w:rsidRPr="75B8D105">
        <w:rPr>
          <w:lang w:val="pt-BR"/>
        </w:rPr>
        <w:t xml:space="preserve">as </w:t>
      </w:r>
      <w:r w:rsidRPr="75B8D105">
        <w:rPr>
          <w:lang w:val="pt-BR"/>
        </w:rPr>
        <w:t>estimativas d</w:t>
      </w:r>
      <w:r w:rsidR="379D8A21" w:rsidRPr="00525869">
        <w:rPr>
          <w:lang w:val="pt-BR"/>
        </w:rPr>
        <w:t>o VI</w:t>
      </w:r>
      <w:r w:rsidRPr="75B8D105">
        <w:rPr>
          <w:lang w:val="pt-BR"/>
        </w:rPr>
        <w:t>H</w:t>
      </w:r>
      <w:r w:rsidR="379D8A21" w:rsidRPr="00525869">
        <w:rPr>
          <w:lang w:val="pt-BR"/>
        </w:rPr>
        <w:t xml:space="preserve"> </w:t>
      </w:r>
      <w:r w:rsidR="16002E5E" w:rsidRPr="75B8D105">
        <w:rPr>
          <w:lang w:val="pt-BR"/>
        </w:rPr>
        <w:t xml:space="preserve">Ve </w:t>
      </w:r>
      <w:r w:rsidRPr="75B8D105">
        <w:rPr>
          <w:lang w:val="pt-BR"/>
        </w:rPr>
        <w:t xml:space="preserve">2026 </w:t>
      </w:r>
    </w:p>
    <w:p w14:paraId="5903EE82" w14:textId="3BC7CF1B" w:rsidR="16002E5E" w:rsidRPr="00525869" w:rsidRDefault="16002E5E" w:rsidP="1BD1694C">
      <w:pPr>
        <w:rPr>
          <w:lang w:val="pt-BR"/>
        </w:rPr>
      </w:pPr>
      <w:r w:rsidRPr="00525869">
        <w:rPr>
          <w:rFonts w:ascii="Calibri" w:hAnsi="Calibri" w:cs="Calibri"/>
          <w:sz w:val="22"/>
          <w:szCs w:val="22"/>
          <w:lang w:val="pt-BR"/>
        </w:rPr>
        <w:t>Versão 0</w:t>
      </w:r>
      <w:r w:rsidR="00525869" w:rsidRPr="00525869">
        <w:rPr>
          <w:rFonts w:ascii="Calibri" w:hAnsi="Calibri" w:cs="Calibri"/>
          <w:sz w:val="22"/>
          <w:szCs w:val="22"/>
          <w:lang w:val="pt-BR"/>
        </w:rPr>
        <w:t>3</w:t>
      </w:r>
      <w:r w:rsidRPr="00525869">
        <w:rPr>
          <w:rFonts w:ascii="Calibri" w:hAnsi="Calibri" w:cs="Calibri"/>
          <w:sz w:val="22"/>
          <w:szCs w:val="22"/>
          <w:lang w:val="pt-BR"/>
        </w:rPr>
        <w:t xml:space="preserve"> de janeiro de 2026 </w:t>
      </w:r>
    </w:p>
    <w:p w14:paraId="36E475BA" w14:textId="37278FC8" w:rsidR="1BD1694C" w:rsidRPr="00525869" w:rsidRDefault="1BD1694C" w:rsidP="1BD1694C">
      <w:pPr>
        <w:rPr>
          <w:rFonts w:ascii="Calibri" w:hAnsi="Calibri" w:cs="Calibri"/>
          <w:sz w:val="22"/>
          <w:szCs w:val="22"/>
          <w:lang w:val="pt-BR"/>
        </w:rPr>
      </w:pPr>
    </w:p>
    <w:p w14:paraId="701DEA76" w14:textId="2466742C" w:rsidR="16002E5E" w:rsidRPr="00525869" w:rsidRDefault="16002E5E" w:rsidP="1BD1694C">
      <w:pPr>
        <w:pStyle w:val="Style2"/>
        <w:rPr>
          <w:lang w:val="pt-BR"/>
        </w:rPr>
      </w:pPr>
      <w:r w:rsidRPr="00525869">
        <w:rPr>
          <w:lang w:val="pt-BR"/>
        </w:rPr>
        <w:t xml:space="preserve">Entradas </w:t>
      </w:r>
      <w:r w:rsidR="7DA688CD" w:rsidRPr="00525869">
        <w:rPr>
          <w:lang w:val="pt-BR"/>
        </w:rPr>
        <w:t>de estatísticas do programa</w:t>
      </w:r>
    </w:p>
    <w:p w14:paraId="7782DA48" w14:textId="32F4964B" w:rsidR="16002E5E" w:rsidRPr="00525869" w:rsidRDefault="16002E5E" w:rsidP="1BD1694C">
      <w:pPr>
        <w:rPr>
          <w:rFonts w:ascii="Calibri" w:hAnsi="Calibri" w:cs="Calibri"/>
          <w:sz w:val="22"/>
          <w:szCs w:val="22"/>
          <w:lang w:val="pt-BR"/>
        </w:rPr>
      </w:pPr>
      <w:r w:rsidRPr="00525869">
        <w:rPr>
          <w:rFonts w:ascii="Calibri" w:hAnsi="Calibri" w:cs="Calibri"/>
          <w:sz w:val="22"/>
          <w:szCs w:val="22"/>
          <w:lang w:val="pt-BR"/>
        </w:rPr>
        <w:t>Os usuários agora podem inserir os seguintes dados adicionais do programa</w:t>
      </w:r>
    </w:p>
    <w:p w14:paraId="6063DD9D" w14:textId="78F37C30" w:rsidR="16002E5E" w:rsidRPr="00525869" w:rsidRDefault="7DA688CD" w:rsidP="1BD1694C">
      <w:pPr>
        <w:rPr>
          <w:lang w:val="pt-BR"/>
        </w:rPr>
      </w:pPr>
      <w:r w:rsidRPr="75B8D105">
        <w:rPr>
          <w:rFonts w:ascii="Calibri" w:hAnsi="Calibri" w:cs="Calibri"/>
          <w:b/>
          <w:bCs/>
          <w:sz w:val="22"/>
          <w:szCs w:val="22"/>
          <w:lang w:val="pt-BR"/>
        </w:rPr>
        <w:t>Editor P</w:t>
      </w:r>
      <w:r w:rsidR="16002E5E" w:rsidRPr="75B8D105">
        <w:rPr>
          <w:rFonts w:ascii="Calibri" w:hAnsi="Calibri" w:cs="Calibri"/>
          <w:b/>
          <w:bCs/>
          <w:sz w:val="22"/>
          <w:szCs w:val="22"/>
          <w:lang w:val="pt-BR"/>
        </w:rPr>
        <w:t>MTCT</w:t>
      </w:r>
      <w:r w:rsidRPr="75B8D105">
        <w:rPr>
          <w:rFonts w:ascii="Calibri" w:hAnsi="Calibri" w:cs="Calibri"/>
          <w:sz w:val="22"/>
          <w:szCs w:val="22"/>
          <w:lang w:val="pt-BR"/>
        </w:rPr>
        <w:t>: PrEP para mulheres grávidas e lactantes. A</w:t>
      </w:r>
      <w:r w:rsidR="16002E5E" w:rsidRPr="75B8D105">
        <w:rPr>
          <w:rFonts w:ascii="Calibri" w:hAnsi="Calibri" w:cs="Calibri"/>
          <w:sz w:val="22"/>
          <w:szCs w:val="22"/>
          <w:lang w:val="pt-BR"/>
        </w:rPr>
        <w:t>s</w:t>
      </w:r>
      <w:r w:rsidRPr="75B8D105">
        <w:rPr>
          <w:rFonts w:ascii="Calibri" w:hAnsi="Calibri" w:cs="Calibri"/>
          <w:sz w:val="22"/>
          <w:szCs w:val="22"/>
          <w:lang w:val="pt-BR"/>
        </w:rPr>
        <w:t xml:space="preserve"> </w:t>
      </w:r>
      <w:r w:rsidR="16002E5E" w:rsidRPr="75B8D105">
        <w:rPr>
          <w:rFonts w:ascii="Calibri" w:hAnsi="Calibri" w:cs="Calibri"/>
          <w:sz w:val="22"/>
          <w:szCs w:val="22"/>
          <w:lang w:val="pt-BR"/>
        </w:rPr>
        <w:t xml:space="preserve">entradas </w:t>
      </w:r>
      <w:r w:rsidRPr="75B8D105">
        <w:rPr>
          <w:rFonts w:ascii="Calibri" w:hAnsi="Calibri" w:cs="Calibri"/>
          <w:sz w:val="22"/>
          <w:szCs w:val="22"/>
          <w:lang w:val="pt-BR"/>
        </w:rPr>
        <w:t>inclue</w:t>
      </w:r>
      <w:r w:rsidR="16002E5E" w:rsidRPr="75B8D105">
        <w:rPr>
          <w:rFonts w:ascii="Calibri" w:hAnsi="Calibri" w:cs="Calibri"/>
          <w:sz w:val="22"/>
          <w:szCs w:val="22"/>
          <w:lang w:val="pt-BR"/>
        </w:rPr>
        <w:t>m</w:t>
      </w:r>
      <w:r w:rsidRPr="75B8D105">
        <w:rPr>
          <w:rFonts w:ascii="Calibri" w:hAnsi="Calibri" w:cs="Calibri"/>
          <w:sz w:val="22"/>
          <w:szCs w:val="22"/>
          <w:lang w:val="pt-BR"/>
        </w:rPr>
        <w:t xml:space="preserve"> o número de pessoas em PrEP oral diária ou PrEP de ação prolongada, bem como a adesão por método, anos-pessoa </w:t>
      </w:r>
      <w:r w:rsidR="16002E5E" w:rsidRPr="75B8D105">
        <w:rPr>
          <w:rFonts w:ascii="Calibri" w:hAnsi="Calibri" w:cs="Calibri"/>
          <w:sz w:val="22"/>
          <w:szCs w:val="22"/>
          <w:lang w:val="pt-BR"/>
        </w:rPr>
        <w:t xml:space="preserve">de proteção por pessoa </w:t>
      </w:r>
      <w:r w:rsidRPr="75B8D105">
        <w:rPr>
          <w:rFonts w:ascii="Calibri" w:hAnsi="Calibri" w:cs="Calibri"/>
          <w:sz w:val="22"/>
          <w:szCs w:val="22"/>
          <w:lang w:val="pt-BR"/>
        </w:rPr>
        <w:t xml:space="preserve">em PrEP por método e a </w:t>
      </w:r>
      <w:r w:rsidR="16002E5E" w:rsidRPr="75B8D105">
        <w:rPr>
          <w:rFonts w:ascii="Calibri" w:hAnsi="Calibri" w:cs="Calibri"/>
          <w:sz w:val="22"/>
          <w:szCs w:val="22"/>
          <w:lang w:val="pt-BR"/>
        </w:rPr>
        <w:t xml:space="preserve">razão </w:t>
      </w:r>
      <w:r w:rsidRPr="75B8D105">
        <w:rPr>
          <w:rFonts w:ascii="Calibri" w:hAnsi="Calibri" w:cs="Calibri"/>
          <w:sz w:val="22"/>
          <w:szCs w:val="22"/>
          <w:lang w:val="pt-BR"/>
        </w:rPr>
        <w:t xml:space="preserve">de risco de incidência </w:t>
      </w:r>
      <w:r w:rsidR="16002E5E" w:rsidRPr="75B8D105">
        <w:rPr>
          <w:rFonts w:ascii="Calibri" w:hAnsi="Calibri" w:cs="Calibri"/>
          <w:sz w:val="22"/>
          <w:szCs w:val="22"/>
          <w:lang w:val="pt-BR"/>
        </w:rPr>
        <w:t>d</w:t>
      </w:r>
      <w:r w:rsidRPr="75B8D105">
        <w:rPr>
          <w:rFonts w:ascii="Calibri" w:hAnsi="Calibri" w:cs="Calibri"/>
          <w:sz w:val="22"/>
          <w:szCs w:val="22"/>
          <w:lang w:val="pt-BR"/>
        </w:rPr>
        <w:t xml:space="preserve">aquelas em PrEP em comparação com todas as mulheres. Isso serve para contextualização e planejamento futuro. Não esperamos que a maioria dos programas tenha dados sobre PrEP para mulheres grávidas para 2025. Se você inserir números para 2025 ou anos futuros, isso reduzirá a incidência estimada entre mulheres grávidas, a taxa de transmissão de mãe para filho e o número de novas infecções em crianças. </w:t>
      </w:r>
    </w:p>
    <w:p w14:paraId="1F845068" w14:textId="63382A3C" w:rsidR="1BD1694C" w:rsidRPr="00525869" w:rsidRDefault="1BD1694C" w:rsidP="1BD1694C">
      <w:pPr>
        <w:rPr>
          <w:rFonts w:ascii="Calibri" w:hAnsi="Calibri" w:cs="Calibri"/>
          <w:sz w:val="22"/>
          <w:szCs w:val="22"/>
          <w:lang w:val="pt-BR"/>
        </w:rPr>
      </w:pPr>
    </w:p>
    <w:p w14:paraId="5108A66A" w14:textId="3A786E1C" w:rsidR="16002E5E" w:rsidRPr="00525869" w:rsidRDefault="7DA688CD" w:rsidP="1BD1694C">
      <w:pPr>
        <w:rPr>
          <w:lang w:val="pt-BR"/>
        </w:rPr>
      </w:pPr>
      <w:r w:rsidRPr="00525869">
        <w:rPr>
          <w:rFonts w:ascii="Calibri" w:hAnsi="Calibri" w:cs="Calibri"/>
          <w:b/>
          <w:sz w:val="22"/>
          <w:szCs w:val="22"/>
          <w:lang w:val="pt-BR"/>
        </w:rPr>
        <w:t>ART em adultos</w:t>
      </w:r>
      <w:r w:rsidRPr="00525869">
        <w:rPr>
          <w:rFonts w:ascii="Calibri" w:hAnsi="Calibri" w:cs="Calibri"/>
          <w:sz w:val="22"/>
          <w:szCs w:val="22"/>
          <w:lang w:val="pt-BR"/>
        </w:rPr>
        <w:t>: Um botão para “Verificar taxas de interrupção” e uma mensagem de aviso foram adicionados para identificar entradas em que o declínio no número de pessoas em ART em relação ao ano anterior é maior do que o explicado pela taxa de interrupção do tratamento inserida. Isso incentiva os usuários a ajustar a taxa de interrupção para um nível mais razoável. Se não o fizerem, o número model</w:t>
      </w:r>
      <w:r w:rsidR="16002E5E" w:rsidRPr="00525869">
        <w:rPr>
          <w:rFonts w:ascii="Calibri" w:hAnsi="Calibri" w:cs="Calibri"/>
          <w:sz w:val="22"/>
          <w:szCs w:val="22"/>
          <w:lang w:val="pt-BR"/>
        </w:rPr>
        <w:t>ad</w:t>
      </w:r>
      <w:r w:rsidRPr="00525869">
        <w:rPr>
          <w:rFonts w:ascii="Calibri" w:hAnsi="Calibri" w:cs="Calibri"/>
          <w:sz w:val="22"/>
          <w:szCs w:val="22"/>
          <w:lang w:val="pt-BR"/>
        </w:rPr>
        <w:t xml:space="preserve">o em ART não diminuirá tanto quanto os dados inseridos e, portanto, a mortalidade e a incidência naquele ano podem ser subestimadas. </w:t>
      </w:r>
    </w:p>
    <w:p w14:paraId="0A21F35B" w14:textId="04CE16AD" w:rsidR="1BD1694C" w:rsidRPr="00525869" w:rsidRDefault="1BD1694C" w:rsidP="1BD1694C">
      <w:pPr>
        <w:rPr>
          <w:rFonts w:ascii="Calibri" w:hAnsi="Calibri" w:cs="Calibri"/>
          <w:sz w:val="22"/>
          <w:szCs w:val="22"/>
          <w:lang w:val="pt-BR"/>
        </w:rPr>
      </w:pPr>
    </w:p>
    <w:p w14:paraId="6402A3CC" w14:textId="0883C875" w:rsidR="16002E5E" w:rsidRPr="00525869" w:rsidRDefault="16002E5E" w:rsidP="1BD1694C">
      <w:pPr>
        <w:pStyle w:val="Style2"/>
        <w:rPr>
          <w:lang w:val="pt-BR"/>
        </w:rPr>
      </w:pPr>
      <w:r w:rsidRPr="00525869">
        <w:rPr>
          <w:lang w:val="pt-BR"/>
        </w:rPr>
        <w:t xml:space="preserve">Opções avançadas e parâmetros </w:t>
      </w:r>
    </w:p>
    <w:p w14:paraId="73D91E3F" w14:textId="58A18920" w:rsidR="16002E5E" w:rsidRPr="00525869" w:rsidRDefault="7DA688CD" w:rsidP="1BD1694C">
      <w:pPr>
        <w:rPr>
          <w:lang w:val="pt-BR"/>
        </w:rPr>
      </w:pPr>
      <w:r w:rsidRPr="75B8D105">
        <w:rPr>
          <w:rFonts w:ascii="Calibri" w:hAnsi="Calibri" w:cs="Calibri"/>
          <w:sz w:val="22"/>
          <w:szCs w:val="22"/>
          <w:lang w:val="pt-BR"/>
        </w:rPr>
        <w:t xml:space="preserve">As taxas de mortalidade entre crianças em TARV foram atualizadas para as mais recentes do Consórcio IeDEA. Os usuários precisarão selecionar Opções avançadas &gt; Parâmetros de transição pediátrica e clicar em “Restaurar todos os valores padrão de transição e sair” para inserir as taxas atualizadas. Isso resultará em pequenos aumentos ou reduções nas mortes pediátricas em TARV, mas na maioria dos países a mudança será pequena, de 1% a 2%. </w:t>
      </w:r>
    </w:p>
    <w:p w14:paraId="5B144DD5" w14:textId="2B8B7210" w:rsidR="16002E5E" w:rsidRPr="00525869" w:rsidRDefault="7DA688CD" w:rsidP="1BD1694C">
      <w:pPr>
        <w:rPr>
          <w:lang w:val="pt-BR"/>
        </w:rPr>
      </w:pPr>
      <w:r w:rsidRPr="00525869">
        <w:rPr>
          <w:rFonts w:ascii="Calibri" w:hAnsi="Calibri" w:cs="Calibri"/>
          <w:sz w:val="22"/>
          <w:szCs w:val="22"/>
          <w:lang w:val="pt-BR"/>
        </w:rPr>
        <w:t>Efeito d</w:t>
      </w:r>
      <w:r w:rsidR="16002E5E" w:rsidRPr="00525869">
        <w:rPr>
          <w:rFonts w:ascii="Calibri" w:hAnsi="Calibri" w:cs="Calibri"/>
          <w:sz w:val="22"/>
          <w:szCs w:val="22"/>
          <w:lang w:val="pt-BR"/>
        </w:rPr>
        <w:t>a</w:t>
      </w:r>
      <w:r w:rsidRPr="00525869">
        <w:rPr>
          <w:rFonts w:ascii="Calibri" w:hAnsi="Calibri" w:cs="Calibri"/>
          <w:sz w:val="22"/>
          <w:szCs w:val="22"/>
          <w:lang w:val="pt-BR"/>
        </w:rPr>
        <w:t xml:space="preserve"> TARV na transmissão: este cálculo agora está restrito a anos com &gt;50% dos pacientes em TARV testados para carga viral, a fim de garantir a representatividade. Se houver menos de 3 anos de dados que atendam a essa condição, será usada a redução padrão (de 0,75). </w:t>
      </w:r>
    </w:p>
    <w:p w14:paraId="74298268" w14:textId="415463AF" w:rsidR="1BD1694C" w:rsidRPr="00525869" w:rsidRDefault="1BD1694C" w:rsidP="1BD1694C">
      <w:pPr>
        <w:rPr>
          <w:rFonts w:ascii="Calibri" w:hAnsi="Calibri" w:cs="Calibri"/>
          <w:sz w:val="22"/>
          <w:szCs w:val="22"/>
          <w:lang w:val="pt-BR"/>
        </w:rPr>
      </w:pPr>
    </w:p>
    <w:p w14:paraId="192AAE5A" w14:textId="06EAE7A7" w:rsidR="16002E5E" w:rsidRPr="00525869" w:rsidRDefault="16002E5E" w:rsidP="1BD1694C">
      <w:pPr>
        <w:pStyle w:val="Style2"/>
        <w:rPr>
          <w:lang w:val="pt-BR"/>
        </w:rPr>
      </w:pPr>
      <w:r w:rsidRPr="00525869">
        <w:rPr>
          <w:lang w:val="pt-BR"/>
        </w:rPr>
        <w:t xml:space="preserve">Modelo de incidência CSAVR / dados de mortes por AIDS </w:t>
      </w:r>
    </w:p>
    <w:p w14:paraId="2671A51F" w14:textId="2200F37B" w:rsidR="16002E5E" w:rsidRPr="00525869" w:rsidRDefault="16002E5E" w:rsidP="1BD1694C">
      <w:pPr>
        <w:rPr>
          <w:lang w:val="pt-BR"/>
        </w:rPr>
      </w:pPr>
      <w:r w:rsidRPr="00525869">
        <w:rPr>
          <w:rFonts w:ascii="Calibri" w:hAnsi="Calibri" w:cs="Calibri"/>
          <w:sz w:val="22"/>
          <w:szCs w:val="22"/>
          <w:lang w:val="pt-BR"/>
        </w:rPr>
        <w:t xml:space="preserve">Para avaliar melhor as entradas mais válidas para mortes atribuídas à AIDS (entre adultos com 15 anos ou mais) para modelagem de incidência, os usuários agora podem plotar e comparar fontes alternativas de dados de mortes por AIDS (por exemplo, com ou sem ajuste para causas de mortes classificadas incorretamente) no editor de dados do CSAVR, usando o botão “Plotar mortes por AIDS por fonte”. </w:t>
      </w:r>
    </w:p>
    <w:p w14:paraId="6AE34B51" w14:textId="1C9955A5" w:rsidR="1BD1694C" w:rsidRPr="00525869" w:rsidRDefault="1BD1694C" w:rsidP="1BD1694C">
      <w:pPr>
        <w:rPr>
          <w:rFonts w:ascii="Calibri" w:hAnsi="Calibri" w:cs="Calibri"/>
          <w:sz w:val="22"/>
          <w:szCs w:val="22"/>
          <w:lang w:val="pt-BR"/>
        </w:rPr>
      </w:pPr>
    </w:p>
    <w:p w14:paraId="68D7E840" w14:textId="6A9BBCA5" w:rsidR="16002E5E" w:rsidRPr="00525869" w:rsidRDefault="16002E5E" w:rsidP="1BD1694C">
      <w:pPr>
        <w:pStyle w:val="Style2"/>
        <w:rPr>
          <w:lang w:val="pt-BR"/>
        </w:rPr>
      </w:pPr>
      <w:r w:rsidRPr="00525869">
        <w:rPr>
          <w:lang w:val="pt-BR"/>
        </w:rPr>
        <w:t xml:space="preserve">Ferramenta de denominadores de prevenção </w:t>
      </w:r>
    </w:p>
    <w:p w14:paraId="13233BA4" w14:textId="1299256B" w:rsidR="16002E5E" w:rsidRPr="00525869" w:rsidRDefault="7DA688CD" w:rsidP="1BD1694C">
      <w:pPr>
        <w:rPr>
          <w:lang w:val="pt-BR"/>
        </w:rPr>
      </w:pPr>
      <w:r w:rsidRPr="75B8D105">
        <w:rPr>
          <w:rFonts w:ascii="Calibri" w:hAnsi="Calibri" w:cs="Calibri"/>
          <w:sz w:val="22"/>
          <w:szCs w:val="22"/>
          <w:lang w:val="pt-BR"/>
        </w:rPr>
        <w:t xml:space="preserve">Esta nova ferramenta, acessada através do menu “Ferramentas” do Spectrum, permite ao usuário estimar as necessidades com base em metas para vários serviços de prevenção: preservativos, PrEP, circuncisão médica voluntária masculina e serviços para populações-chave. O tamanho da população (para 2025 e projeções para 2030), a cobertura de serviços no nível de 2025 e as taxas de sorodiscordância do </w:t>
      </w:r>
      <w:r w:rsidR="16002E5E" w:rsidRPr="75B8D105">
        <w:rPr>
          <w:rFonts w:ascii="Calibri" w:hAnsi="Calibri" w:cs="Calibri"/>
          <w:sz w:val="22"/>
          <w:szCs w:val="22"/>
          <w:lang w:val="pt-BR"/>
        </w:rPr>
        <w:t>HIV</w:t>
      </w:r>
      <w:r w:rsidRPr="75B8D105">
        <w:rPr>
          <w:rFonts w:ascii="Calibri" w:hAnsi="Calibri" w:cs="Calibri"/>
          <w:sz w:val="22"/>
          <w:szCs w:val="22"/>
          <w:lang w:val="pt-BR"/>
        </w:rPr>
        <w:t xml:space="preserve"> (relevantes para as necessidades de PrEP) foram pré-preenchidos com base em dados publicados pelos países (incluindo, mas não se limitando aos relatórios do Global AIDS Monitoring) ou outras bases de dados públicas padronizadas (pesquisas nacionais com famílias; estimativas consolidadas da UNAIDS sobre o tamanho da população também usadas para definir metas, planejar a sustentabilidade e estimar a infecção em populações-chave globais e regionais). </w:t>
      </w:r>
    </w:p>
    <w:p w14:paraId="21A70FD0" w14:textId="04757CE2" w:rsidR="16002E5E" w:rsidRPr="00525869" w:rsidRDefault="7DA688CD" w:rsidP="1BD1694C">
      <w:pPr>
        <w:rPr>
          <w:lang w:val="pt-BR"/>
        </w:rPr>
      </w:pPr>
      <w:r w:rsidRPr="75B8D105">
        <w:rPr>
          <w:rFonts w:ascii="Calibri" w:hAnsi="Calibri" w:cs="Calibri"/>
          <w:sz w:val="22"/>
          <w:szCs w:val="22"/>
          <w:lang w:val="pt-BR"/>
        </w:rPr>
        <w:t>Os tamanhos das populações-chave são baseados nas estimativas nacionais do tamanho da população usadas na r</w:t>
      </w:r>
      <w:r w:rsidR="16002E5E" w:rsidRPr="75B8D105">
        <w:rPr>
          <w:rFonts w:ascii="Calibri" w:hAnsi="Calibri" w:cs="Calibri"/>
          <w:sz w:val="22"/>
          <w:szCs w:val="22"/>
          <w:lang w:val="pt-BR"/>
        </w:rPr>
        <w:t xml:space="preserve">odada </w:t>
      </w:r>
      <w:r w:rsidRPr="75B8D105">
        <w:rPr>
          <w:rFonts w:ascii="Calibri" w:hAnsi="Calibri" w:cs="Calibri"/>
          <w:sz w:val="22"/>
          <w:szCs w:val="22"/>
          <w:lang w:val="pt-BR"/>
        </w:rPr>
        <w:t xml:space="preserve">de 2025 das calibrações do modelo de metas. Os números de mulheres grávidas infectadas pelo </w:t>
      </w:r>
      <w:r w:rsidR="16002E5E" w:rsidRPr="75B8D105">
        <w:rPr>
          <w:rFonts w:ascii="Calibri" w:hAnsi="Calibri" w:cs="Calibri"/>
          <w:sz w:val="22"/>
          <w:szCs w:val="22"/>
          <w:lang w:val="pt-BR"/>
        </w:rPr>
        <w:t>HIV</w:t>
      </w:r>
      <w:r w:rsidRPr="75B8D105">
        <w:rPr>
          <w:rFonts w:ascii="Calibri" w:hAnsi="Calibri" w:cs="Calibri"/>
          <w:sz w:val="22"/>
          <w:szCs w:val="22"/>
          <w:lang w:val="pt-BR"/>
        </w:rPr>
        <w:t xml:space="preserve"> são da ro</w:t>
      </w:r>
      <w:r w:rsidR="16002E5E" w:rsidRPr="75B8D105">
        <w:rPr>
          <w:rFonts w:ascii="Calibri" w:hAnsi="Calibri" w:cs="Calibri"/>
          <w:sz w:val="22"/>
          <w:szCs w:val="22"/>
          <w:lang w:val="pt-BR"/>
        </w:rPr>
        <w:t>dada</w:t>
      </w:r>
      <w:r w:rsidRPr="75B8D105">
        <w:rPr>
          <w:rFonts w:ascii="Calibri" w:hAnsi="Calibri" w:cs="Calibri"/>
          <w:sz w:val="22"/>
          <w:szCs w:val="22"/>
          <w:lang w:val="pt-BR"/>
        </w:rPr>
        <w:t xml:space="preserve"> de 2025 dos arquivos nacionais Spectrum AIM e os casais sorodiscordantes foram estimados a partir da prevalência nesses arquivos AIM. Os números totais de beneficiários da PrEP em 2024 foram retirados do GAM; na falta de dados abrangentes sobre os beneficiários da PrEP por população-chave individual, esses foram alocados proporcionalmente entre as subpopulações. Os usuários podem alterar qualquer uma dessas entradas se tiverem dados mais recentes. </w:t>
      </w:r>
    </w:p>
    <w:p w14:paraId="74104BDA" w14:textId="44F60005" w:rsidR="16002E5E" w:rsidRPr="00525869" w:rsidRDefault="58E678F7" w:rsidP="1BD1694C">
      <w:pPr>
        <w:rPr>
          <w:lang w:val="pt-BR"/>
        </w:rPr>
      </w:pPr>
      <w:r w:rsidRPr="16723BC9">
        <w:rPr>
          <w:rFonts w:ascii="Calibri" w:hAnsi="Calibri" w:cs="Calibri"/>
          <w:sz w:val="22"/>
          <w:szCs w:val="22"/>
          <w:lang w:val="pt-BR"/>
        </w:rPr>
        <w:t>Esta ferramenta não se destina a substituir as ferramentas existentes (</w:t>
      </w:r>
      <w:r w:rsidRPr="16723BC9">
        <w:rPr>
          <w:rFonts w:ascii="Calibri" w:hAnsi="Calibri" w:cs="Calibri"/>
          <w:i/>
          <w:iCs/>
          <w:sz w:val="22"/>
          <w:szCs w:val="22"/>
          <w:lang w:val="pt-BR"/>
        </w:rPr>
        <w:t>PrEP-it, DMPPT2, Ferramenta de Estimativa das Necessidades de Preservativos</w:t>
      </w:r>
      <w:r w:rsidRPr="16723BC9">
        <w:rPr>
          <w:rFonts w:ascii="Calibri" w:hAnsi="Calibri" w:cs="Calibri"/>
          <w:sz w:val="22"/>
          <w:szCs w:val="22"/>
          <w:lang w:val="pt-BR"/>
        </w:rPr>
        <w:t xml:space="preserve">), que contêm detalhes adicionais, mas a fornecer uma avaliação rápida das necessidades como parte do processo de estimativas. </w:t>
      </w:r>
    </w:p>
    <w:p w14:paraId="05E089AE" w14:textId="5CE7E6B5" w:rsidR="16002E5E" w:rsidRPr="00525869" w:rsidRDefault="7DA688CD" w:rsidP="1BD1694C">
      <w:pPr>
        <w:rPr>
          <w:lang w:val="pt-BR"/>
        </w:rPr>
      </w:pPr>
      <w:r w:rsidRPr="75B8D105">
        <w:rPr>
          <w:rFonts w:ascii="Calibri" w:hAnsi="Calibri" w:cs="Calibri"/>
          <w:sz w:val="22"/>
          <w:szCs w:val="22"/>
          <w:lang w:val="pt-BR"/>
        </w:rPr>
        <w:t xml:space="preserve">Para os países prioritários da VMMC, as metas de circuncisão são por distrito, conforme inseridas na ferramenta DMPPT2. Os usuários podem atualizar qualquer uma das entradas, mas esperamos que se concentrem principalmente em definir as metas para 2030 e examinar as necessidades resultantes. </w:t>
      </w:r>
    </w:p>
    <w:p w14:paraId="70AB3933" w14:textId="53A64759" w:rsidR="1BD1694C" w:rsidRPr="00525869" w:rsidRDefault="1BD1694C" w:rsidP="1BD1694C">
      <w:pPr>
        <w:rPr>
          <w:rFonts w:ascii="Calibri" w:hAnsi="Calibri" w:cs="Calibri"/>
          <w:sz w:val="22"/>
          <w:szCs w:val="22"/>
          <w:lang w:val="pt-BR"/>
        </w:rPr>
      </w:pPr>
    </w:p>
    <w:p w14:paraId="2ECDC0F9" w14:textId="7AB43734" w:rsidR="16002E5E" w:rsidRPr="00525869" w:rsidRDefault="16002E5E" w:rsidP="1BD1694C">
      <w:pPr>
        <w:pStyle w:val="Style2"/>
        <w:rPr>
          <w:lang w:val="pt-BR"/>
        </w:rPr>
      </w:pPr>
      <w:r w:rsidRPr="00525869">
        <w:rPr>
          <w:lang w:val="pt-BR"/>
        </w:rPr>
        <w:t>Versões do software</w:t>
      </w:r>
    </w:p>
    <w:p w14:paraId="3AEE19AA" w14:textId="7CEB97EA" w:rsidR="16002E5E" w:rsidRPr="00525869" w:rsidRDefault="16002E5E" w:rsidP="1BD1694C">
      <w:pPr>
        <w:rPr>
          <w:lang w:val="pt-BR"/>
        </w:rPr>
      </w:pPr>
      <w:r w:rsidRPr="00525869">
        <w:rPr>
          <w:rFonts w:ascii="Calibri" w:hAnsi="Calibri" w:cs="Calibri"/>
          <w:sz w:val="22"/>
          <w:szCs w:val="22"/>
          <w:lang w:val="pt-BR"/>
        </w:rPr>
        <w:t>O software Spectrum está agora disponível em duas versões:</w:t>
      </w:r>
    </w:p>
    <w:p w14:paraId="1A54DAA8" w14:textId="4A19F044" w:rsidR="16002E5E" w:rsidRPr="00525869" w:rsidRDefault="16002E5E" w:rsidP="1BD1694C">
      <w:pPr>
        <w:pStyle w:val="ListParagraph"/>
        <w:numPr>
          <w:ilvl w:val="0"/>
          <w:numId w:val="1"/>
        </w:numPr>
        <w:rPr>
          <w:rFonts w:ascii="Calibri" w:hAnsi="Calibri" w:cs="Calibri"/>
          <w:sz w:val="22"/>
          <w:szCs w:val="22"/>
          <w:lang w:val="pt-BR"/>
        </w:rPr>
      </w:pPr>
      <w:r w:rsidRPr="00525869">
        <w:rPr>
          <w:rFonts w:ascii="Calibri" w:hAnsi="Calibri" w:cs="Calibri"/>
          <w:sz w:val="22"/>
          <w:szCs w:val="22"/>
          <w:lang w:val="pt-BR"/>
        </w:rPr>
        <w:t>uma versão para desktop para Windows, que deve ser baixada e instalada no seu computador, e</w:t>
      </w:r>
    </w:p>
    <w:p w14:paraId="5ABFBCDE" w14:textId="725828EE" w:rsidR="16002E5E" w:rsidRPr="00525869" w:rsidRDefault="16002E5E" w:rsidP="1BD1694C">
      <w:pPr>
        <w:pStyle w:val="ListParagraph"/>
        <w:numPr>
          <w:ilvl w:val="0"/>
          <w:numId w:val="1"/>
        </w:numPr>
        <w:rPr>
          <w:rFonts w:ascii="Calibri" w:hAnsi="Calibri" w:cs="Calibri"/>
          <w:sz w:val="22"/>
          <w:szCs w:val="22"/>
          <w:lang w:val="pt-BR"/>
        </w:rPr>
      </w:pPr>
      <w:r w:rsidRPr="00525869">
        <w:rPr>
          <w:rFonts w:ascii="Calibri" w:hAnsi="Calibri" w:cs="Calibri"/>
          <w:sz w:val="22"/>
          <w:szCs w:val="22"/>
          <w:lang w:val="pt-BR"/>
        </w:rPr>
        <w:t>uma versão online, agora com todas as funcionalidades da versão para desktop, incluindo EPP, CSAVR e Shiny90.</w:t>
      </w:r>
    </w:p>
    <w:p w14:paraId="6C4A07D6" w14:textId="420C9216" w:rsidR="1BD1694C" w:rsidRPr="00525869" w:rsidRDefault="1BD1694C" w:rsidP="1BD1694C">
      <w:pPr>
        <w:rPr>
          <w:rFonts w:ascii="Calibri" w:hAnsi="Calibri" w:cs="Calibri"/>
          <w:sz w:val="22"/>
          <w:szCs w:val="22"/>
          <w:lang w:val="pt-BR"/>
        </w:rPr>
      </w:pPr>
    </w:p>
    <w:sectPr w:rsidR="1BD1694C" w:rsidRPr="00525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7DCD"/>
    <w:multiLevelType w:val="hybridMultilevel"/>
    <w:tmpl w:val="77742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B2436"/>
    <w:multiLevelType w:val="hybridMultilevel"/>
    <w:tmpl w:val="77742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D211A6"/>
    <w:multiLevelType w:val="hybridMultilevel"/>
    <w:tmpl w:val="2BE8CCD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946C4EC"/>
    <w:multiLevelType w:val="hybridMultilevel"/>
    <w:tmpl w:val="99CCB2DC"/>
    <w:lvl w:ilvl="0" w:tplc="2FCE523E">
      <w:start w:val="1"/>
      <w:numFmt w:val="bullet"/>
      <w:lvlText w:val=""/>
      <w:lvlJc w:val="left"/>
      <w:pPr>
        <w:ind w:left="360" w:hanging="360"/>
      </w:pPr>
      <w:rPr>
        <w:rFonts w:ascii="Symbol" w:hAnsi="Symbol" w:hint="default"/>
      </w:rPr>
    </w:lvl>
    <w:lvl w:ilvl="1" w:tplc="978C74E4">
      <w:start w:val="1"/>
      <w:numFmt w:val="bullet"/>
      <w:lvlText w:val="o"/>
      <w:lvlJc w:val="left"/>
      <w:pPr>
        <w:ind w:left="1080" w:hanging="360"/>
      </w:pPr>
      <w:rPr>
        <w:rFonts w:ascii="Courier New" w:hAnsi="Courier New" w:hint="default"/>
      </w:rPr>
    </w:lvl>
    <w:lvl w:ilvl="2" w:tplc="A98E519A">
      <w:start w:val="1"/>
      <w:numFmt w:val="bullet"/>
      <w:lvlText w:val=""/>
      <w:lvlJc w:val="left"/>
      <w:pPr>
        <w:ind w:left="1800" w:hanging="360"/>
      </w:pPr>
      <w:rPr>
        <w:rFonts w:ascii="Wingdings" w:hAnsi="Wingdings" w:hint="default"/>
      </w:rPr>
    </w:lvl>
    <w:lvl w:ilvl="3" w:tplc="F2A09270">
      <w:start w:val="1"/>
      <w:numFmt w:val="bullet"/>
      <w:lvlText w:val=""/>
      <w:lvlJc w:val="left"/>
      <w:pPr>
        <w:ind w:left="2520" w:hanging="360"/>
      </w:pPr>
      <w:rPr>
        <w:rFonts w:ascii="Symbol" w:hAnsi="Symbol" w:hint="default"/>
      </w:rPr>
    </w:lvl>
    <w:lvl w:ilvl="4" w:tplc="6FD606A2">
      <w:start w:val="1"/>
      <w:numFmt w:val="bullet"/>
      <w:lvlText w:val="o"/>
      <w:lvlJc w:val="left"/>
      <w:pPr>
        <w:ind w:left="3240" w:hanging="360"/>
      </w:pPr>
      <w:rPr>
        <w:rFonts w:ascii="Courier New" w:hAnsi="Courier New" w:hint="default"/>
      </w:rPr>
    </w:lvl>
    <w:lvl w:ilvl="5" w:tplc="E912166E">
      <w:start w:val="1"/>
      <w:numFmt w:val="bullet"/>
      <w:lvlText w:val=""/>
      <w:lvlJc w:val="left"/>
      <w:pPr>
        <w:ind w:left="3960" w:hanging="360"/>
      </w:pPr>
      <w:rPr>
        <w:rFonts w:ascii="Wingdings" w:hAnsi="Wingdings" w:hint="default"/>
      </w:rPr>
    </w:lvl>
    <w:lvl w:ilvl="6" w:tplc="CE82F5E0">
      <w:start w:val="1"/>
      <w:numFmt w:val="bullet"/>
      <w:lvlText w:val=""/>
      <w:lvlJc w:val="left"/>
      <w:pPr>
        <w:ind w:left="4680" w:hanging="360"/>
      </w:pPr>
      <w:rPr>
        <w:rFonts w:ascii="Symbol" w:hAnsi="Symbol" w:hint="default"/>
      </w:rPr>
    </w:lvl>
    <w:lvl w:ilvl="7" w:tplc="35961416">
      <w:start w:val="1"/>
      <w:numFmt w:val="bullet"/>
      <w:lvlText w:val="o"/>
      <w:lvlJc w:val="left"/>
      <w:pPr>
        <w:ind w:left="5400" w:hanging="360"/>
      </w:pPr>
      <w:rPr>
        <w:rFonts w:ascii="Courier New" w:hAnsi="Courier New" w:hint="default"/>
      </w:rPr>
    </w:lvl>
    <w:lvl w:ilvl="8" w:tplc="06461360">
      <w:start w:val="1"/>
      <w:numFmt w:val="bullet"/>
      <w:lvlText w:val=""/>
      <w:lvlJc w:val="left"/>
      <w:pPr>
        <w:ind w:left="6120" w:hanging="360"/>
      </w:pPr>
      <w:rPr>
        <w:rFonts w:ascii="Wingdings" w:hAnsi="Wingdings" w:hint="default"/>
      </w:rPr>
    </w:lvl>
  </w:abstractNum>
  <w:abstractNum w:abstractNumId="4" w15:restartNumberingAfterBreak="0">
    <w:nsid w:val="3D9123FB"/>
    <w:multiLevelType w:val="hybridMultilevel"/>
    <w:tmpl w:val="1E448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CC2D6C"/>
    <w:multiLevelType w:val="hybridMultilevel"/>
    <w:tmpl w:val="DED088F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19521244">
    <w:abstractNumId w:val="3"/>
  </w:num>
  <w:num w:numId="2" w16cid:durableId="1241330081">
    <w:abstractNumId w:val="0"/>
  </w:num>
  <w:num w:numId="3" w16cid:durableId="1875382595">
    <w:abstractNumId w:val="1"/>
  </w:num>
  <w:num w:numId="4" w16cid:durableId="820535438">
    <w:abstractNumId w:val="5"/>
  </w:num>
  <w:num w:numId="5" w16cid:durableId="860045283">
    <w:abstractNumId w:val="2"/>
  </w:num>
  <w:num w:numId="6" w16cid:durableId="117206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3"/>
    <w:rsid w:val="00020264"/>
    <w:rsid w:val="00024A8A"/>
    <w:rsid w:val="00036C93"/>
    <w:rsid w:val="00042CBD"/>
    <w:rsid w:val="00043440"/>
    <w:rsid w:val="000760DA"/>
    <w:rsid w:val="00076393"/>
    <w:rsid w:val="00092BD2"/>
    <w:rsid w:val="000D1ECF"/>
    <w:rsid w:val="000D6164"/>
    <w:rsid w:val="000E64FE"/>
    <w:rsid w:val="000F738D"/>
    <w:rsid w:val="00112CCA"/>
    <w:rsid w:val="00144D6B"/>
    <w:rsid w:val="00157DCE"/>
    <w:rsid w:val="001670B6"/>
    <w:rsid w:val="00183BDD"/>
    <w:rsid w:val="001939A6"/>
    <w:rsid w:val="001B1E75"/>
    <w:rsid w:val="001C251C"/>
    <w:rsid w:val="001E6496"/>
    <w:rsid w:val="00200052"/>
    <w:rsid w:val="002545EE"/>
    <w:rsid w:val="00260640"/>
    <w:rsid w:val="0026157F"/>
    <w:rsid w:val="00294DDB"/>
    <w:rsid w:val="0029695A"/>
    <w:rsid w:val="002A1817"/>
    <w:rsid w:val="002A28B1"/>
    <w:rsid w:val="002B1E7E"/>
    <w:rsid w:val="003644EF"/>
    <w:rsid w:val="00382B62"/>
    <w:rsid w:val="003B434A"/>
    <w:rsid w:val="003D4301"/>
    <w:rsid w:val="003F231B"/>
    <w:rsid w:val="00406695"/>
    <w:rsid w:val="00414729"/>
    <w:rsid w:val="0042505F"/>
    <w:rsid w:val="0043392C"/>
    <w:rsid w:val="00434ADC"/>
    <w:rsid w:val="00470B06"/>
    <w:rsid w:val="00472CB7"/>
    <w:rsid w:val="004A6B03"/>
    <w:rsid w:val="004C2316"/>
    <w:rsid w:val="004E02C0"/>
    <w:rsid w:val="004F61EB"/>
    <w:rsid w:val="0052142B"/>
    <w:rsid w:val="0052472B"/>
    <w:rsid w:val="00525869"/>
    <w:rsid w:val="00534118"/>
    <w:rsid w:val="00535A10"/>
    <w:rsid w:val="00537C75"/>
    <w:rsid w:val="00584955"/>
    <w:rsid w:val="005C5164"/>
    <w:rsid w:val="005E48D5"/>
    <w:rsid w:val="005E6773"/>
    <w:rsid w:val="005F24D4"/>
    <w:rsid w:val="005F4C5E"/>
    <w:rsid w:val="00626761"/>
    <w:rsid w:val="006373B7"/>
    <w:rsid w:val="006424DE"/>
    <w:rsid w:val="00691D15"/>
    <w:rsid w:val="006A6F9C"/>
    <w:rsid w:val="006B46E9"/>
    <w:rsid w:val="006D0BC3"/>
    <w:rsid w:val="006F7FC6"/>
    <w:rsid w:val="00711227"/>
    <w:rsid w:val="0071523F"/>
    <w:rsid w:val="007219D5"/>
    <w:rsid w:val="00740A99"/>
    <w:rsid w:val="00746703"/>
    <w:rsid w:val="00756A32"/>
    <w:rsid w:val="0076482D"/>
    <w:rsid w:val="00767C69"/>
    <w:rsid w:val="00771A15"/>
    <w:rsid w:val="007874ED"/>
    <w:rsid w:val="00792FD6"/>
    <w:rsid w:val="007A5E6A"/>
    <w:rsid w:val="007B3AC9"/>
    <w:rsid w:val="007E2A93"/>
    <w:rsid w:val="0080543C"/>
    <w:rsid w:val="00812D77"/>
    <w:rsid w:val="00821AA6"/>
    <w:rsid w:val="00842D61"/>
    <w:rsid w:val="00843B5C"/>
    <w:rsid w:val="008A081F"/>
    <w:rsid w:val="008D0DF8"/>
    <w:rsid w:val="008D2C8A"/>
    <w:rsid w:val="008F62C2"/>
    <w:rsid w:val="009005DE"/>
    <w:rsid w:val="00914D41"/>
    <w:rsid w:val="009306AB"/>
    <w:rsid w:val="0094018F"/>
    <w:rsid w:val="009A7EE2"/>
    <w:rsid w:val="009C1198"/>
    <w:rsid w:val="009D305F"/>
    <w:rsid w:val="009E3A2C"/>
    <w:rsid w:val="009E611F"/>
    <w:rsid w:val="00A21A32"/>
    <w:rsid w:val="00A279FD"/>
    <w:rsid w:val="00A43F01"/>
    <w:rsid w:val="00A6278D"/>
    <w:rsid w:val="00AC0B28"/>
    <w:rsid w:val="00AE293E"/>
    <w:rsid w:val="00AE429E"/>
    <w:rsid w:val="00AE48FB"/>
    <w:rsid w:val="00AF71B7"/>
    <w:rsid w:val="00B11884"/>
    <w:rsid w:val="00B15BBB"/>
    <w:rsid w:val="00B424C2"/>
    <w:rsid w:val="00B47495"/>
    <w:rsid w:val="00B53454"/>
    <w:rsid w:val="00B64B9E"/>
    <w:rsid w:val="00B77D64"/>
    <w:rsid w:val="00B80121"/>
    <w:rsid w:val="00B80D0D"/>
    <w:rsid w:val="00B84363"/>
    <w:rsid w:val="00B90471"/>
    <w:rsid w:val="00B95476"/>
    <w:rsid w:val="00BA7DEB"/>
    <w:rsid w:val="00BB08C4"/>
    <w:rsid w:val="00BB16D1"/>
    <w:rsid w:val="00BB2A29"/>
    <w:rsid w:val="00BD4205"/>
    <w:rsid w:val="00BE41E8"/>
    <w:rsid w:val="00BE5C49"/>
    <w:rsid w:val="00C10189"/>
    <w:rsid w:val="00C42E9E"/>
    <w:rsid w:val="00C506D5"/>
    <w:rsid w:val="00C56CCD"/>
    <w:rsid w:val="00C650CA"/>
    <w:rsid w:val="00C77763"/>
    <w:rsid w:val="00CA0E41"/>
    <w:rsid w:val="00CA3C2A"/>
    <w:rsid w:val="00CA72E2"/>
    <w:rsid w:val="00CB11E9"/>
    <w:rsid w:val="00CE6DCA"/>
    <w:rsid w:val="00CF663C"/>
    <w:rsid w:val="00D5346C"/>
    <w:rsid w:val="00D9274E"/>
    <w:rsid w:val="00DB41CB"/>
    <w:rsid w:val="00DD4F7E"/>
    <w:rsid w:val="00E1627F"/>
    <w:rsid w:val="00E212CB"/>
    <w:rsid w:val="00E40432"/>
    <w:rsid w:val="00E44FEA"/>
    <w:rsid w:val="00E47CA9"/>
    <w:rsid w:val="00E71B72"/>
    <w:rsid w:val="00E72C88"/>
    <w:rsid w:val="00EC0E56"/>
    <w:rsid w:val="00ED186E"/>
    <w:rsid w:val="00EF1F48"/>
    <w:rsid w:val="00F10F1E"/>
    <w:rsid w:val="00F166DC"/>
    <w:rsid w:val="00F20617"/>
    <w:rsid w:val="00F21E28"/>
    <w:rsid w:val="00F445B6"/>
    <w:rsid w:val="00F632B5"/>
    <w:rsid w:val="00F8194C"/>
    <w:rsid w:val="00FA7C7B"/>
    <w:rsid w:val="00FB2D93"/>
    <w:rsid w:val="00FC565C"/>
    <w:rsid w:val="00FD36D3"/>
    <w:rsid w:val="00FD78AF"/>
    <w:rsid w:val="00FE1468"/>
    <w:rsid w:val="00FE2350"/>
    <w:rsid w:val="00FF031C"/>
    <w:rsid w:val="00FF5695"/>
    <w:rsid w:val="046BA3CB"/>
    <w:rsid w:val="060AEC77"/>
    <w:rsid w:val="06F35736"/>
    <w:rsid w:val="070FA814"/>
    <w:rsid w:val="07EC3436"/>
    <w:rsid w:val="08F2ECB1"/>
    <w:rsid w:val="09728515"/>
    <w:rsid w:val="0E9AE0A0"/>
    <w:rsid w:val="11B149AF"/>
    <w:rsid w:val="13063A26"/>
    <w:rsid w:val="132E842A"/>
    <w:rsid w:val="16002E5E"/>
    <w:rsid w:val="166B69F5"/>
    <w:rsid w:val="16723BC9"/>
    <w:rsid w:val="171FEFB4"/>
    <w:rsid w:val="1BD1694C"/>
    <w:rsid w:val="208CCF5C"/>
    <w:rsid w:val="26A2B7FA"/>
    <w:rsid w:val="27F0A56A"/>
    <w:rsid w:val="2B83CA25"/>
    <w:rsid w:val="2C629388"/>
    <w:rsid w:val="2C6FD3A7"/>
    <w:rsid w:val="2CE41BB6"/>
    <w:rsid w:val="2CFF1DBB"/>
    <w:rsid w:val="37321107"/>
    <w:rsid w:val="379D8A21"/>
    <w:rsid w:val="3BA87B24"/>
    <w:rsid w:val="3D8BBAE4"/>
    <w:rsid w:val="40367773"/>
    <w:rsid w:val="40BD934B"/>
    <w:rsid w:val="4335D619"/>
    <w:rsid w:val="4713DF22"/>
    <w:rsid w:val="4C0E1D5E"/>
    <w:rsid w:val="4E8F6E89"/>
    <w:rsid w:val="50422C5D"/>
    <w:rsid w:val="52719635"/>
    <w:rsid w:val="576B140E"/>
    <w:rsid w:val="58E678F7"/>
    <w:rsid w:val="5F1562DA"/>
    <w:rsid w:val="615C0FD9"/>
    <w:rsid w:val="61FBDD03"/>
    <w:rsid w:val="627FB036"/>
    <w:rsid w:val="6373460B"/>
    <w:rsid w:val="6396F31D"/>
    <w:rsid w:val="63C8D59D"/>
    <w:rsid w:val="67FB98F6"/>
    <w:rsid w:val="6AA09C6A"/>
    <w:rsid w:val="6F92C596"/>
    <w:rsid w:val="72C03B7C"/>
    <w:rsid w:val="737B182C"/>
    <w:rsid w:val="75B8D105"/>
    <w:rsid w:val="7DA688CD"/>
    <w:rsid w:val="7DF86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0943"/>
  <w15:chartTrackingRefBased/>
  <w15:docId w15:val="{40C6EBB0-32D5-457D-A94F-24C6476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2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2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D93"/>
    <w:rPr>
      <w:rFonts w:eastAsiaTheme="majorEastAsia" w:cstheme="majorBidi"/>
      <w:color w:val="272727" w:themeColor="text1" w:themeTint="D8"/>
    </w:rPr>
  </w:style>
  <w:style w:type="paragraph" w:styleId="Title">
    <w:name w:val="Title"/>
    <w:basedOn w:val="Normal"/>
    <w:next w:val="Normal"/>
    <w:link w:val="TitleChar"/>
    <w:uiPriority w:val="10"/>
    <w:qFormat/>
    <w:rsid w:val="00FB2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D93"/>
    <w:pPr>
      <w:spacing w:before="160"/>
      <w:jc w:val="center"/>
    </w:pPr>
    <w:rPr>
      <w:i/>
      <w:iCs/>
      <w:color w:val="404040" w:themeColor="text1" w:themeTint="BF"/>
    </w:rPr>
  </w:style>
  <w:style w:type="character" w:customStyle="1" w:styleId="QuoteChar">
    <w:name w:val="Quote Char"/>
    <w:basedOn w:val="DefaultParagraphFont"/>
    <w:link w:val="Quote"/>
    <w:uiPriority w:val="29"/>
    <w:rsid w:val="00FB2D93"/>
    <w:rPr>
      <w:i/>
      <w:iCs/>
      <w:color w:val="404040" w:themeColor="text1" w:themeTint="BF"/>
    </w:rPr>
  </w:style>
  <w:style w:type="paragraph" w:styleId="ListParagraph">
    <w:name w:val="List Paragraph"/>
    <w:basedOn w:val="Normal"/>
    <w:uiPriority w:val="34"/>
    <w:qFormat/>
    <w:rsid w:val="00FB2D93"/>
    <w:pPr>
      <w:ind w:left="720"/>
      <w:contextualSpacing/>
    </w:pPr>
  </w:style>
  <w:style w:type="character" w:styleId="IntenseEmphasis">
    <w:name w:val="Intense Emphasis"/>
    <w:basedOn w:val="DefaultParagraphFont"/>
    <w:uiPriority w:val="21"/>
    <w:qFormat/>
    <w:rsid w:val="00FB2D93"/>
    <w:rPr>
      <w:i/>
      <w:iCs/>
      <w:color w:val="0F4761" w:themeColor="accent1" w:themeShade="BF"/>
    </w:rPr>
  </w:style>
  <w:style w:type="paragraph" w:styleId="IntenseQuote">
    <w:name w:val="Intense Quote"/>
    <w:basedOn w:val="Normal"/>
    <w:next w:val="Normal"/>
    <w:link w:val="IntenseQuoteChar"/>
    <w:uiPriority w:val="30"/>
    <w:qFormat/>
    <w:rsid w:val="00FB2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D93"/>
    <w:rPr>
      <w:i/>
      <w:iCs/>
      <w:color w:val="0F4761" w:themeColor="accent1" w:themeShade="BF"/>
    </w:rPr>
  </w:style>
  <w:style w:type="character" w:styleId="IntenseReference">
    <w:name w:val="Intense Reference"/>
    <w:basedOn w:val="DefaultParagraphFont"/>
    <w:uiPriority w:val="32"/>
    <w:qFormat/>
    <w:rsid w:val="00FB2D93"/>
    <w:rPr>
      <w:b/>
      <w:bCs/>
      <w:smallCaps/>
      <w:color w:val="0F4761" w:themeColor="accent1" w:themeShade="BF"/>
      <w:spacing w:val="5"/>
    </w:rPr>
  </w:style>
  <w:style w:type="character" w:styleId="CommentReference">
    <w:name w:val="annotation reference"/>
    <w:basedOn w:val="DefaultParagraphFont"/>
    <w:uiPriority w:val="99"/>
    <w:semiHidden/>
    <w:unhideWhenUsed/>
    <w:rsid w:val="0043392C"/>
    <w:rPr>
      <w:sz w:val="16"/>
      <w:szCs w:val="16"/>
    </w:rPr>
  </w:style>
  <w:style w:type="paragraph" w:styleId="CommentText">
    <w:name w:val="annotation text"/>
    <w:basedOn w:val="Normal"/>
    <w:link w:val="CommentTextChar"/>
    <w:uiPriority w:val="99"/>
    <w:unhideWhenUsed/>
    <w:rsid w:val="0043392C"/>
    <w:pPr>
      <w:spacing w:line="240" w:lineRule="auto"/>
    </w:pPr>
    <w:rPr>
      <w:sz w:val="20"/>
      <w:szCs w:val="20"/>
    </w:rPr>
  </w:style>
  <w:style w:type="character" w:customStyle="1" w:styleId="CommentTextChar">
    <w:name w:val="Comment Text Char"/>
    <w:basedOn w:val="DefaultParagraphFont"/>
    <w:link w:val="CommentText"/>
    <w:uiPriority w:val="99"/>
    <w:rsid w:val="0043392C"/>
    <w:rPr>
      <w:sz w:val="20"/>
      <w:szCs w:val="20"/>
    </w:rPr>
  </w:style>
  <w:style w:type="paragraph" w:styleId="CommentSubject">
    <w:name w:val="annotation subject"/>
    <w:basedOn w:val="CommentText"/>
    <w:next w:val="CommentText"/>
    <w:link w:val="CommentSubjectChar"/>
    <w:uiPriority w:val="99"/>
    <w:semiHidden/>
    <w:unhideWhenUsed/>
    <w:rsid w:val="0043392C"/>
    <w:rPr>
      <w:b/>
      <w:bCs/>
    </w:rPr>
  </w:style>
  <w:style w:type="character" w:customStyle="1" w:styleId="CommentSubjectChar">
    <w:name w:val="Comment Subject Char"/>
    <w:basedOn w:val="CommentTextChar"/>
    <w:link w:val="CommentSubject"/>
    <w:uiPriority w:val="99"/>
    <w:semiHidden/>
    <w:rsid w:val="0043392C"/>
    <w:rPr>
      <w:b/>
      <w:bCs/>
      <w:sz w:val="20"/>
      <w:szCs w:val="20"/>
    </w:rPr>
  </w:style>
  <w:style w:type="paragraph" w:styleId="Revision">
    <w:name w:val="Revision"/>
    <w:hidden/>
    <w:uiPriority w:val="99"/>
    <w:semiHidden/>
    <w:rsid w:val="00092BD2"/>
    <w:pPr>
      <w:spacing w:after="0" w:line="240" w:lineRule="auto"/>
    </w:pPr>
  </w:style>
  <w:style w:type="paragraph" w:customStyle="1" w:styleId="Style1">
    <w:name w:val="Style1"/>
    <w:basedOn w:val="Normal"/>
    <w:link w:val="Style1Char"/>
    <w:uiPriority w:val="1"/>
    <w:qFormat/>
    <w:rsid w:val="1BD1694C"/>
    <w:pPr>
      <w:keepNext/>
      <w:keepLines/>
      <w:spacing w:before="360" w:after="80"/>
      <w:outlineLvl w:val="0"/>
    </w:pPr>
    <w:rPr>
      <w:rFonts w:asciiTheme="majorHAnsi" w:eastAsiaTheme="majorEastAsia" w:hAnsiTheme="majorHAnsi" w:cstheme="majorBidi"/>
      <w:b/>
      <w:bCs/>
      <w:color w:val="0F4761" w:themeColor="accent1" w:themeShade="BF"/>
      <w:sz w:val="22"/>
      <w:szCs w:val="22"/>
    </w:rPr>
  </w:style>
  <w:style w:type="character" w:customStyle="1" w:styleId="Style1Char">
    <w:name w:val="Style1 Char"/>
    <w:basedOn w:val="DefaultParagraphFont"/>
    <w:link w:val="Style1"/>
    <w:rsid w:val="1BD1694C"/>
    <w:rPr>
      <w:rFonts w:asciiTheme="majorHAnsi" w:eastAsiaTheme="majorEastAsia" w:hAnsiTheme="majorHAnsi" w:cstheme="majorBidi"/>
      <w:b/>
      <w:bCs/>
      <w:color w:val="0F4761" w:themeColor="accent1" w:themeShade="BF"/>
      <w:sz w:val="22"/>
      <w:szCs w:val="22"/>
    </w:rPr>
  </w:style>
  <w:style w:type="paragraph" w:customStyle="1" w:styleId="Style2">
    <w:name w:val="Style2"/>
    <w:basedOn w:val="Normal"/>
    <w:link w:val="Style2Char"/>
    <w:uiPriority w:val="1"/>
    <w:qFormat/>
    <w:rsid w:val="1BD1694C"/>
    <w:pPr>
      <w:keepNext/>
      <w:keepLines/>
      <w:spacing w:before="40" w:after="0" w:line="259" w:lineRule="auto"/>
      <w:outlineLvl w:val="1"/>
    </w:pPr>
    <w:rPr>
      <w:rFonts w:asciiTheme="majorHAnsi" w:eastAsiaTheme="majorEastAsia" w:hAnsiTheme="majorHAnsi" w:cstheme="majorBidi"/>
      <w:b/>
      <w:bCs/>
      <w:color w:val="0F4761" w:themeColor="accent1" w:themeShade="BF"/>
      <w:sz w:val="22"/>
      <w:szCs w:val="22"/>
    </w:rPr>
  </w:style>
  <w:style w:type="character" w:customStyle="1" w:styleId="Style2Char">
    <w:name w:val="Style2 Char"/>
    <w:basedOn w:val="DefaultParagraphFont"/>
    <w:link w:val="Style2"/>
    <w:rsid w:val="1BD1694C"/>
    <w:rPr>
      <w:rFonts w:asciiTheme="majorHAnsi" w:eastAsiaTheme="majorEastAsia" w:hAnsiTheme="majorHAnsi" w:cstheme="majorBidi"/>
      <w:b/>
      <w:bCs/>
      <w:color w:val="0F476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88ef829-98c5-46d1-83dc-c2ef7c814da2" xsi:nil="true"/>
    <TaxCatchAll xmlns="2ddeef39-65d3-4660-94f2-f063f949c57e" xsi:nil="true"/>
    <_ip_UnifiedCompliancePolicyProperties xmlns="http://schemas.microsoft.com/sharepoint/v3" xsi:nil="true"/>
    <lcf76f155ced4ddcb4097134ff3c332f xmlns="288ef829-98c5-46d1-83dc-c2ef7c814da2">
      <Terms xmlns="http://schemas.microsoft.com/office/infopath/2007/PartnerControls"/>
    </lcf76f155ced4ddcb4097134ff3c332f>
    <PrimeLastClassified xmlns="2ddeef39-65d3-4660-94f2-f063f949c57e" xsi:nil="true"/>
    <Language xmlns="288ef829-98c5-46d1-83dc-c2ef7c814da2">Portuguese</Language>
    <Summary_x002f_Abstract xmlns="288ef829-98c5-46d1-83dc-c2ef7c814da2">The document outlines updates and new features in the Spectrum/AIM software for the 2026 HIV estimates round, including new program data inputs, updated mortality rates, enhanced modeling tools, and the introduction of a prevention denominator tool.</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DocumentTitle xmlns="288ef829-98c5-46d1-83dc-c2ef7c814da2">What's New in Spectrum 2026</DocumentTitle>
    <ReviewFrequency xmlns="288ef829-98c5-46d1-83dc-c2ef7c814da2">12 months</ReviewFrequency>
    <PrimeClassificationStatus xmlns="2ddeef39-65d3-4660-94f2-f063f949c57e" xsi:nil="true"/>
    <DownloadCategory xmlns="288ef829-98c5-46d1-83dc-c2ef7c814da2">Guide</DownloadCategory>
    <ContentOwner xmlns="288ef829-98c5-46d1-83dc-c2ef7c814da2">Eline Louise Korenromp</ContentOwner>
    <Region xmlns="288ef829-98c5-46d1-83dc-c2ef7c814da2">Global</Region>
    <ThematicArea xmlns="288ef829-98c5-46d1-83dc-c2ef7c814da2" xsi:nil="true"/>
    <DocumentName xmlns="288ef829-98c5-46d1-83dc-c2ef7c814d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999D4-8473-49BC-A179-226AD8830FED}">
  <ds:schemaRefs>
    <ds:schemaRef ds:uri="http://schemas.microsoft.com/office/2006/metadata/properties"/>
    <ds:schemaRef ds:uri="http://schemas.microsoft.com/office/infopath/2007/PartnerControls"/>
    <ds:schemaRef ds:uri="http://schemas.microsoft.com/sharepoint/v3"/>
    <ds:schemaRef ds:uri="288ef829-98c5-46d1-83dc-c2ef7c814da2"/>
    <ds:schemaRef ds:uri="2ddeef39-65d3-4660-94f2-f063f949c57e"/>
  </ds:schemaRefs>
</ds:datastoreItem>
</file>

<file path=customXml/itemProps2.xml><?xml version="1.0" encoding="utf-8"?>
<ds:datastoreItem xmlns:ds="http://schemas.openxmlformats.org/officeDocument/2006/customXml" ds:itemID="{C56B5292-0DF0-4C4C-8E96-979733DE71DB}">
  <ds:schemaRefs>
    <ds:schemaRef ds:uri="http://schemas.microsoft.com/sharepoint/v3/contenttype/forms"/>
  </ds:schemaRefs>
</ds:datastoreItem>
</file>

<file path=customXml/itemProps3.xml><?xml version="1.0" encoding="utf-8"?>
<ds:datastoreItem xmlns:ds="http://schemas.openxmlformats.org/officeDocument/2006/customXml" ds:itemID="{E4AE9BFF-38F2-4600-93D7-34E477E7B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4251</Characters>
  <Application>Microsoft Office Word</Application>
  <DocSecurity>0</DocSecurity>
  <Lines>55</Lines>
  <Paragraphs>23</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Stover</dc:creator>
  <cp:keywords/>
  <dc:description/>
  <cp:lastModifiedBy>KORENROMP, Eline Louise</cp:lastModifiedBy>
  <cp:revision>49</cp:revision>
  <dcterms:created xsi:type="dcterms:W3CDTF">2025-12-02T18:59:00Z</dcterms:created>
  <dcterms:modified xsi:type="dcterms:W3CDTF">2026-01-16T09:16:00Z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y fmtid="{D5CDD505-2E9C-101B-9397-08002B2CF9AE}" pid="4" name="docLang">
    <vt:lpwstr>en</vt:lpwstr>
  </property>
</Properties>
</file>