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7CEC8" w14:textId="24407EB0" w:rsidR="2FA8C15F" w:rsidRDefault="2FA8C15F" w:rsidP="45F5878E">
      <w:pPr>
        <w:pStyle w:val="Style1"/>
      </w:pPr>
      <w:r w:rsidRPr="45F5878E">
        <w:t xml:space="preserve">Actualizaciones del software Spectrum/AIM para la ronda de estimaciones sobre el VIH de 2026 </w:t>
      </w:r>
    </w:p>
    <w:p w14:paraId="0EC767A0" w14:textId="1C636532" w:rsidR="2FA8C15F" w:rsidRPr="00A14F93" w:rsidRDefault="2FA8C15F" w:rsidP="73315707">
      <w:pPr>
        <w:rPr>
          <w:lang w:val="es-PE"/>
        </w:rPr>
      </w:pPr>
      <w:r w:rsidRPr="00A14F93">
        <w:rPr>
          <w:rFonts w:ascii="Calibri" w:hAnsi="Calibri" w:cs="Calibri"/>
          <w:sz w:val="22"/>
          <w:szCs w:val="22"/>
          <w:lang w:val="es-PE"/>
        </w:rPr>
        <w:t>Versión 2</w:t>
      </w:r>
      <w:r w:rsidR="008E3FB3">
        <w:rPr>
          <w:rFonts w:ascii="Calibri" w:hAnsi="Calibri" w:cs="Calibri"/>
          <w:sz w:val="22"/>
          <w:szCs w:val="22"/>
          <w:lang w:val="es-PE"/>
        </w:rPr>
        <w:t>0</w:t>
      </w:r>
      <w:r w:rsidRPr="00A14F93">
        <w:rPr>
          <w:rFonts w:ascii="Calibri" w:hAnsi="Calibri" w:cs="Calibri"/>
          <w:sz w:val="22"/>
          <w:szCs w:val="22"/>
          <w:lang w:val="es-PE"/>
        </w:rPr>
        <w:t xml:space="preserve"> de enero de 2026 </w:t>
      </w:r>
    </w:p>
    <w:p w14:paraId="2F6B940B" w14:textId="6AAF4FDE" w:rsidR="73315707" w:rsidRPr="00A14F93" w:rsidRDefault="73315707" w:rsidP="73315707">
      <w:pPr>
        <w:rPr>
          <w:rFonts w:ascii="Calibri" w:hAnsi="Calibri" w:cs="Calibri"/>
          <w:sz w:val="22"/>
          <w:szCs w:val="22"/>
          <w:lang w:val="es-PE"/>
        </w:rPr>
      </w:pPr>
    </w:p>
    <w:p w14:paraId="0F81686C" w14:textId="26512DF0" w:rsidR="73315707" w:rsidRPr="00A14F93" w:rsidRDefault="2FA8C15F" w:rsidP="45F5878E">
      <w:pPr>
        <w:pStyle w:val="Style2"/>
        <w:rPr>
          <w:lang w:val="es-PE"/>
        </w:rPr>
      </w:pPr>
      <w:r w:rsidRPr="00A14F93">
        <w:rPr>
          <w:lang w:val="es-PE"/>
        </w:rPr>
        <w:t>Entradas de estadísticas del programa</w:t>
      </w:r>
    </w:p>
    <w:p w14:paraId="7C4AB9DC" w14:textId="730A3528" w:rsidR="73315707" w:rsidRPr="00A14F93" w:rsidRDefault="2FA8C15F" w:rsidP="73315707">
      <w:pPr>
        <w:rPr>
          <w:rFonts w:ascii="Calibri" w:hAnsi="Calibri" w:cs="Calibri"/>
          <w:sz w:val="22"/>
          <w:szCs w:val="22"/>
          <w:lang w:val="es-PE"/>
        </w:rPr>
      </w:pPr>
      <w:r w:rsidRPr="00A14F93">
        <w:rPr>
          <w:rFonts w:ascii="Calibri" w:hAnsi="Calibri" w:cs="Calibri"/>
          <w:sz w:val="22"/>
          <w:szCs w:val="22"/>
          <w:lang w:val="es-PE"/>
        </w:rPr>
        <w:t>Ahora los usuarios pueden introducir los siguientes datos adicionales del programa</w:t>
      </w:r>
    </w:p>
    <w:p w14:paraId="09877C44" w14:textId="36A16753" w:rsidR="2FA8C15F" w:rsidRPr="00A14F93" w:rsidRDefault="2FA8C15F" w:rsidP="45F5878E">
      <w:pPr>
        <w:rPr>
          <w:rFonts w:ascii="Calibri" w:hAnsi="Calibri" w:cs="Calibri"/>
          <w:sz w:val="22"/>
          <w:szCs w:val="22"/>
          <w:lang w:val="es-PE"/>
        </w:rPr>
      </w:pPr>
      <w:r w:rsidRPr="00A14F93">
        <w:rPr>
          <w:rFonts w:ascii="Calibri" w:hAnsi="Calibri" w:cs="Calibri"/>
          <w:b/>
          <w:bCs/>
          <w:sz w:val="22"/>
          <w:szCs w:val="22"/>
          <w:lang w:val="es-PE"/>
        </w:rPr>
        <w:t>Editor de PTMI</w:t>
      </w:r>
      <w:r w:rsidRPr="00A14F93">
        <w:rPr>
          <w:rFonts w:ascii="Calibri" w:hAnsi="Calibri" w:cs="Calibri"/>
          <w:sz w:val="22"/>
          <w:szCs w:val="22"/>
          <w:lang w:val="es-PE"/>
        </w:rPr>
        <w:t xml:space="preserve">: PrEP para mujeres embarazadas y en periodo de lactancia. Las entradas incluyen el número de personas que toman PrEP oral diaria o PrEP de acción prolongada, así como la adherencia por método, los años-persona de protección por persona que toma PrEP por método y la relación de riesgo de incidencia de las personas que toman PrEP frente a todas las mujeres. Estos datos sirven para contextualizar y planificar el futuro. No esperamos que la mayoría de los programas dispongan de datos sobre la PrEP para mujeres embarazadas para 2025. Si se introducen cifras para 2025 o años futuros, se reducirá la incidencia estimada entre las mujeres embarazadas, la tasa de transmisión de madre a hijo y el número de nuevas infecciones infantiles. </w:t>
      </w:r>
    </w:p>
    <w:p w14:paraId="0D8E01A0" w14:textId="4E3929A0" w:rsidR="2FA8C15F" w:rsidRPr="00A14F93" w:rsidRDefault="2FA8C15F" w:rsidP="45F5878E">
      <w:pPr>
        <w:rPr>
          <w:rFonts w:ascii="Calibri" w:hAnsi="Calibri" w:cs="Calibri"/>
          <w:sz w:val="22"/>
          <w:szCs w:val="22"/>
          <w:lang w:val="es-PE"/>
        </w:rPr>
      </w:pPr>
      <w:r w:rsidRPr="00A14F93">
        <w:rPr>
          <w:rFonts w:ascii="Calibri" w:hAnsi="Calibri" w:cs="Calibri"/>
          <w:b/>
          <w:bCs/>
          <w:sz w:val="22"/>
          <w:szCs w:val="22"/>
          <w:lang w:val="es-PE"/>
        </w:rPr>
        <w:t>TAR para adultos</w:t>
      </w:r>
      <w:r w:rsidRPr="00A14F93">
        <w:rPr>
          <w:rFonts w:ascii="Calibri" w:hAnsi="Calibri" w:cs="Calibri"/>
          <w:sz w:val="22"/>
          <w:szCs w:val="22"/>
          <w:lang w:val="es-PE"/>
        </w:rPr>
        <w:t xml:space="preserve">: Se ha añadido un botón para «Comprobar las tasas de interrupción» y un mensaje de advertencia para detectar las entradas en las que la disminución del número de personas en TAR con respecto al año anterior es mayor </w:t>
      </w:r>
      <w:r w:rsidRPr="004C797A">
        <w:rPr>
          <w:rFonts w:ascii="Calibri" w:hAnsi="Calibri" w:cs="Calibri"/>
          <w:sz w:val="22"/>
          <w:szCs w:val="22"/>
          <w:lang w:val="es-PE"/>
        </w:rPr>
        <w:t xml:space="preserve">de lo que </w:t>
      </w:r>
      <w:r w:rsidR="00E9155A" w:rsidRPr="004C797A">
        <w:rPr>
          <w:rFonts w:ascii="Calibri" w:hAnsi="Calibri" w:cs="Calibri"/>
          <w:sz w:val="22"/>
          <w:szCs w:val="22"/>
          <w:lang w:val="es-PE"/>
        </w:rPr>
        <w:t xml:space="preserve">puede </w:t>
      </w:r>
      <w:r w:rsidRPr="004C797A">
        <w:rPr>
          <w:rFonts w:ascii="Calibri" w:hAnsi="Calibri" w:cs="Calibri"/>
          <w:sz w:val="22"/>
          <w:szCs w:val="22"/>
          <w:lang w:val="es-PE"/>
        </w:rPr>
        <w:t>explica</w:t>
      </w:r>
      <w:r w:rsidR="00E9155A" w:rsidRPr="004C797A">
        <w:rPr>
          <w:rFonts w:ascii="Calibri" w:hAnsi="Calibri" w:cs="Calibri"/>
          <w:sz w:val="22"/>
          <w:szCs w:val="22"/>
          <w:lang w:val="es-PE"/>
        </w:rPr>
        <w:t>r</w:t>
      </w:r>
      <w:r w:rsidRPr="004C797A">
        <w:rPr>
          <w:rFonts w:ascii="Calibri" w:hAnsi="Calibri" w:cs="Calibri"/>
          <w:sz w:val="22"/>
          <w:szCs w:val="22"/>
          <w:lang w:val="es-PE"/>
        </w:rPr>
        <w:t xml:space="preserve"> la tasa de interrupción </w:t>
      </w:r>
      <w:r w:rsidRPr="00A14F93">
        <w:rPr>
          <w:rFonts w:ascii="Calibri" w:hAnsi="Calibri" w:cs="Calibri"/>
          <w:sz w:val="22"/>
          <w:szCs w:val="22"/>
          <w:lang w:val="es-PE"/>
        </w:rPr>
        <w:t xml:space="preserve">del tratamiento introducida. Esto anima a los usuarios a ajustar la tasa de interrupción a un nivel más razonable. Si no lo hacen, el número modelado de personas en TAR no disminuirá tanto como los datos introducidos, por lo que la mortalidad y la incidencia de ese año pueden subestimarse. </w:t>
      </w:r>
    </w:p>
    <w:p w14:paraId="1715A605" w14:textId="6BA1572D" w:rsidR="73315707" w:rsidRPr="00A14F93" w:rsidRDefault="73315707" w:rsidP="73315707">
      <w:pPr>
        <w:rPr>
          <w:rFonts w:ascii="Calibri" w:hAnsi="Calibri" w:cs="Calibri"/>
          <w:sz w:val="22"/>
          <w:szCs w:val="22"/>
          <w:lang w:val="es-PE"/>
        </w:rPr>
      </w:pPr>
    </w:p>
    <w:p w14:paraId="76FAEB4E" w14:textId="318D8D52" w:rsidR="73315707" w:rsidRPr="00A14F93" w:rsidRDefault="2FA8C15F" w:rsidP="45F5878E">
      <w:pPr>
        <w:pStyle w:val="Style2"/>
        <w:rPr>
          <w:lang w:val="es-PE"/>
        </w:rPr>
      </w:pPr>
      <w:r w:rsidRPr="00A14F93">
        <w:rPr>
          <w:lang w:val="es-PE"/>
        </w:rPr>
        <w:t xml:space="preserve">Opciones avanzadas y parámetros </w:t>
      </w:r>
    </w:p>
    <w:p w14:paraId="75208750" w14:textId="7047E760" w:rsidR="73315707" w:rsidRPr="004C797A" w:rsidRDefault="2FA8C15F" w:rsidP="45F5878E">
      <w:pPr>
        <w:rPr>
          <w:rFonts w:ascii="Calibri" w:hAnsi="Calibri" w:cs="Calibri"/>
          <w:sz w:val="22"/>
          <w:szCs w:val="22"/>
          <w:lang w:val="es-ES"/>
        </w:rPr>
      </w:pPr>
      <w:r w:rsidRPr="45F5878E">
        <w:rPr>
          <w:rFonts w:ascii="Calibri" w:hAnsi="Calibri" w:cs="Calibri"/>
          <w:sz w:val="22"/>
          <w:szCs w:val="22"/>
          <w:lang w:val="es-ES"/>
        </w:rPr>
        <w:t xml:space="preserve">Las tasas de mortalidad entre los niños que </w:t>
      </w:r>
      <w:r w:rsidRPr="004C797A">
        <w:rPr>
          <w:rFonts w:ascii="Calibri" w:hAnsi="Calibri" w:cs="Calibri"/>
          <w:sz w:val="22"/>
          <w:szCs w:val="22"/>
          <w:lang w:val="es-ES"/>
        </w:rPr>
        <w:t xml:space="preserve">reciben </w:t>
      </w:r>
      <w:r w:rsidR="00711796" w:rsidRPr="004C797A">
        <w:rPr>
          <w:rFonts w:ascii="Calibri" w:hAnsi="Calibri" w:cs="Calibri"/>
          <w:sz w:val="22"/>
          <w:szCs w:val="22"/>
          <w:lang w:val="es-ES"/>
        </w:rPr>
        <w:t>TAR</w:t>
      </w:r>
      <w:r w:rsidRPr="004C797A">
        <w:rPr>
          <w:rFonts w:ascii="Calibri" w:hAnsi="Calibri" w:cs="Calibri"/>
          <w:sz w:val="22"/>
          <w:szCs w:val="22"/>
          <w:lang w:val="es-ES"/>
        </w:rPr>
        <w:t xml:space="preserve"> se han actualizado con los últimos datos del Consorcio IeDEA. Los usuarios deberán seleccionar Opciones avanzadas &gt; Parámetros de transición pediátrica y hacer clic en «Restaurar todos los valores predeterminados de transición y salir» para insertar las tasas actualizadas. Esto dará lugar a pequeños aumentos o disminuciones en las muertes pediátricas en </w:t>
      </w:r>
      <w:r w:rsidR="00711796" w:rsidRPr="004C797A">
        <w:rPr>
          <w:rFonts w:ascii="Calibri" w:hAnsi="Calibri" w:cs="Calibri"/>
          <w:sz w:val="22"/>
          <w:szCs w:val="22"/>
          <w:lang w:val="es-ES"/>
        </w:rPr>
        <w:t>TAR</w:t>
      </w:r>
      <w:r w:rsidRPr="004C797A">
        <w:rPr>
          <w:rFonts w:ascii="Calibri" w:hAnsi="Calibri" w:cs="Calibri"/>
          <w:sz w:val="22"/>
          <w:szCs w:val="22"/>
          <w:lang w:val="es-ES"/>
        </w:rPr>
        <w:t xml:space="preserve">, pero en la mayoría de los países el cambio será pequeño, </w:t>
      </w:r>
      <w:r w:rsidR="001902BF" w:rsidRPr="004C797A">
        <w:rPr>
          <w:rFonts w:ascii="Calibri" w:hAnsi="Calibri" w:cs="Calibri"/>
          <w:sz w:val="22"/>
          <w:szCs w:val="22"/>
          <w:lang w:val="es-ES"/>
        </w:rPr>
        <w:t>entre</w:t>
      </w:r>
      <w:r w:rsidRPr="004C797A">
        <w:rPr>
          <w:rFonts w:ascii="Calibri" w:hAnsi="Calibri" w:cs="Calibri"/>
          <w:sz w:val="22"/>
          <w:szCs w:val="22"/>
          <w:lang w:val="es-ES"/>
        </w:rPr>
        <w:t xml:space="preserve"> 1 % </w:t>
      </w:r>
      <w:r w:rsidR="001902BF" w:rsidRPr="004C797A">
        <w:rPr>
          <w:rFonts w:ascii="Calibri" w:hAnsi="Calibri" w:cs="Calibri"/>
          <w:sz w:val="22"/>
          <w:szCs w:val="22"/>
          <w:lang w:val="es-ES"/>
        </w:rPr>
        <w:t>y</w:t>
      </w:r>
      <w:r w:rsidRPr="004C797A">
        <w:rPr>
          <w:rFonts w:ascii="Calibri" w:hAnsi="Calibri" w:cs="Calibri"/>
          <w:sz w:val="22"/>
          <w:szCs w:val="22"/>
          <w:lang w:val="es-ES"/>
        </w:rPr>
        <w:t xml:space="preserve"> 2 %. </w:t>
      </w:r>
    </w:p>
    <w:p w14:paraId="348E1F46" w14:textId="591F6505" w:rsidR="2FA8C15F" w:rsidRPr="00A14F93" w:rsidRDefault="2FA8C15F" w:rsidP="73315707">
      <w:pPr>
        <w:rPr>
          <w:lang w:val="es-PE"/>
        </w:rPr>
      </w:pPr>
      <w:r w:rsidRPr="004C797A">
        <w:rPr>
          <w:rFonts w:ascii="Calibri" w:hAnsi="Calibri" w:cs="Calibri"/>
          <w:sz w:val="22"/>
          <w:szCs w:val="22"/>
          <w:lang w:val="es-PE"/>
        </w:rPr>
        <w:t xml:space="preserve">Efecto del TAR sobre la transmisión: este cálculo </w:t>
      </w:r>
      <w:r w:rsidRPr="00A14F93">
        <w:rPr>
          <w:rFonts w:ascii="Calibri" w:hAnsi="Calibri" w:cs="Calibri"/>
          <w:sz w:val="22"/>
          <w:szCs w:val="22"/>
          <w:lang w:val="es-PE"/>
        </w:rPr>
        <w:t xml:space="preserve">se limita ahora a los años en los que más del 50 % de los pacientes en TAR se sometieron a pruebas de carga viral, a fin de garantizar la representatividad. Si hay menos de tres años de datos que cumplan esta condición, se utilizará la reducción predeterminada (de 0,75). </w:t>
      </w:r>
    </w:p>
    <w:p w14:paraId="7917EB03" w14:textId="0E885427" w:rsidR="73315707" w:rsidRPr="00A14F93" w:rsidRDefault="73315707" w:rsidP="73315707">
      <w:pPr>
        <w:rPr>
          <w:rFonts w:ascii="Calibri" w:hAnsi="Calibri" w:cs="Calibri"/>
          <w:sz w:val="22"/>
          <w:szCs w:val="22"/>
          <w:lang w:val="es-PE"/>
        </w:rPr>
      </w:pPr>
    </w:p>
    <w:p w14:paraId="03603C97" w14:textId="1AE30816" w:rsidR="73315707" w:rsidRPr="00A14F93" w:rsidRDefault="73315707" w:rsidP="73315707">
      <w:pPr>
        <w:rPr>
          <w:rFonts w:ascii="Calibri" w:hAnsi="Calibri" w:cs="Calibri"/>
          <w:sz w:val="22"/>
          <w:szCs w:val="22"/>
          <w:lang w:val="es-PE"/>
        </w:rPr>
      </w:pPr>
    </w:p>
    <w:p w14:paraId="4280937B" w14:textId="29F373D6" w:rsidR="73315707" w:rsidRPr="00A14F93" w:rsidRDefault="2FA8C15F" w:rsidP="45F5878E">
      <w:pPr>
        <w:pStyle w:val="Style2"/>
        <w:rPr>
          <w:lang w:val="es-PE"/>
        </w:rPr>
      </w:pPr>
      <w:r w:rsidRPr="00A14F93">
        <w:rPr>
          <w:lang w:val="es-PE"/>
        </w:rPr>
        <w:lastRenderedPageBreak/>
        <w:t xml:space="preserve">Modelo de incidencia de CSAVR / Datos sobre muertes por sida </w:t>
      </w:r>
    </w:p>
    <w:p w14:paraId="2AF5A731" w14:textId="57FA960D" w:rsidR="2FA8C15F" w:rsidRPr="004C797A" w:rsidRDefault="2FA8C15F" w:rsidP="73315707">
      <w:pPr>
        <w:rPr>
          <w:lang w:val="es-PE"/>
        </w:rPr>
      </w:pPr>
      <w:r w:rsidRPr="00A14F93">
        <w:rPr>
          <w:rFonts w:ascii="Calibri" w:hAnsi="Calibri" w:cs="Calibri"/>
          <w:sz w:val="22"/>
          <w:szCs w:val="22"/>
          <w:lang w:val="es-PE"/>
        </w:rPr>
        <w:t xml:space="preserve">Para evaluar mejor los datos más válidos sobre las muertes atribuidas al sida (entre adultos mayores de 15 años) para la modelización de la incidencia, los usuarios ahora </w:t>
      </w:r>
      <w:r w:rsidRPr="004C797A">
        <w:rPr>
          <w:rFonts w:ascii="Calibri" w:hAnsi="Calibri" w:cs="Calibri"/>
          <w:sz w:val="22"/>
          <w:szCs w:val="22"/>
          <w:lang w:val="es-PE"/>
        </w:rPr>
        <w:t xml:space="preserve">pueden </w:t>
      </w:r>
      <w:r w:rsidR="004A7AA7" w:rsidRPr="004C797A">
        <w:rPr>
          <w:rFonts w:ascii="Calibri" w:hAnsi="Calibri" w:cs="Calibri"/>
          <w:sz w:val="22"/>
          <w:szCs w:val="22"/>
          <w:lang w:val="es-PE"/>
        </w:rPr>
        <w:t>graficar</w:t>
      </w:r>
      <w:r w:rsidRPr="004C797A">
        <w:rPr>
          <w:rFonts w:ascii="Calibri" w:hAnsi="Calibri" w:cs="Calibri"/>
          <w:sz w:val="22"/>
          <w:szCs w:val="22"/>
          <w:lang w:val="es-PE"/>
        </w:rPr>
        <w:t xml:space="preserve"> y comparar fuentes alternativas de datos sobre muertes por sida (por ejemplo, con o sin ajuste por causas de muerte clasificadas erróneamente) dentro del editor de datos de CSAVR, utilizando el botón «</w:t>
      </w:r>
      <w:r w:rsidR="004A7AA7" w:rsidRPr="004C797A">
        <w:rPr>
          <w:rFonts w:ascii="Calibri" w:hAnsi="Calibri" w:cs="Calibri"/>
          <w:sz w:val="22"/>
          <w:szCs w:val="22"/>
          <w:lang w:val="es-PE"/>
        </w:rPr>
        <w:t>Gr</w:t>
      </w:r>
      <w:r w:rsidR="004C797A" w:rsidRPr="004C797A">
        <w:rPr>
          <w:rFonts w:ascii="Calibri" w:hAnsi="Calibri" w:cs="Calibri"/>
          <w:sz w:val="22"/>
          <w:szCs w:val="22"/>
          <w:lang w:val="es-PE"/>
        </w:rPr>
        <w:t>á</w:t>
      </w:r>
      <w:r w:rsidR="004A7AA7" w:rsidRPr="004C797A">
        <w:rPr>
          <w:rFonts w:ascii="Calibri" w:hAnsi="Calibri" w:cs="Calibri"/>
          <w:sz w:val="22"/>
          <w:szCs w:val="22"/>
          <w:lang w:val="es-PE"/>
        </w:rPr>
        <w:t>fic</w:t>
      </w:r>
      <w:r w:rsidR="004C797A" w:rsidRPr="004C797A">
        <w:rPr>
          <w:rFonts w:ascii="Calibri" w:hAnsi="Calibri" w:cs="Calibri"/>
          <w:sz w:val="22"/>
          <w:szCs w:val="22"/>
          <w:lang w:val="es-PE"/>
        </w:rPr>
        <w:t>o de</w:t>
      </w:r>
      <w:r w:rsidRPr="004C797A">
        <w:rPr>
          <w:rFonts w:ascii="Calibri" w:hAnsi="Calibri" w:cs="Calibri"/>
          <w:sz w:val="22"/>
          <w:szCs w:val="22"/>
          <w:lang w:val="es-PE"/>
        </w:rPr>
        <w:t xml:space="preserve"> muertes por </w:t>
      </w:r>
      <w:r w:rsidR="004C797A" w:rsidRPr="004C797A">
        <w:rPr>
          <w:rFonts w:ascii="Calibri" w:hAnsi="Calibri" w:cs="Calibri"/>
          <w:sz w:val="22"/>
          <w:szCs w:val="22"/>
          <w:lang w:val="es-PE"/>
        </w:rPr>
        <w:t>SIDA según la</w:t>
      </w:r>
      <w:r w:rsidRPr="004C797A">
        <w:rPr>
          <w:rFonts w:ascii="Calibri" w:hAnsi="Calibri" w:cs="Calibri"/>
          <w:sz w:val="22"/>
          <w:szCs w:val="22"/>
          <w:lang w:val="es-PE"/>
        </w:rPr>
        <w:t xml:space="preserve"> fuente». </w:t>
      </w:r>
    </w:p>
    <w:p w14:paraId="20F39C90" w14:textId="44167B25" w:rsidR="73315707" w:rsidRPr="00A14F93" w:rsidRDefault="73315707" w:rsidP="73315707">
      <w:pPr>
        <w:rPr>
          <w:rFonts w:ascii="Calibri" w:hAnsi="Calibri" w:cs="Calibri"/>
          <w:sz w:val="22"/>
          <w:szCs w:val="22"/>
          <w:lang w:val="es-PE"/>
        </w:rPr>
      </w:pPr>
    </w:p>
    <w:p w14:paraId="5A54BF2D" w14:textId="71B9D7FF" w:rsidR="73315707" w:rsidRPr="00A14F93" w:rsidRDefault="2FA8C15F" w:rsidP="45F5878E">
      <w:pPr>
        <w:pStyle w:val="Style2"/>
        <w:rPr>
          <w:lang w:val="es-PE"/>
        </w:rPr>
      </w:pPr>
      <w:r w:rsidRPr="00A14F93">
        <w:rPr>
          <w:lang w:val="es-PE"/>
        </w:rPr>
        <w:t>Herramienta de denominadores de prevención</w:t>
      </w:r>
    </w:p>
    <w:p w14:paraId="03186D32" w14:textId="280EF896" w:rsidR="73315707" w:rsidRPr="004C797A" w:rsidRDefault="2FA8C15F" w:rsidP="45F5878E">
      <w:pPr>
        <w:rPr>
          <w:rFonts w:ascii="Calibri" w:hAnsi="Calibri" w:cs="Calibri"/>
          <w:sz w:val="22"/>
          <w:szCs w:val="22"/>
          <w:lang w:val="es-ES"/>
        </w:rPr>
      </w:pPr>
      <w:r w:rsidRPr="45F5878E">
        <w:rPr>
          <w:rFonts w:ascii="Calibri" w:hAnsi="Calibri" w:cs="Calibri"/>
          <w:sz w:val="22"/>
          <w:szCs w:val="22"/>
          <w:lang w:val="es-ES"/>
        </w:rPr>
        <w:t>Esta nueva herramienta, a la que se accede a través del menú «Herramientas» de Spectrum, permite al usuario estimar las necesidades basándose en los objetivos de diversos servicios de prevención: preservativos, PrEP, circuncisión médica voluntaria y servicios para poblaciones clave. El tamaño de la población (para 2025 y con proyecciones hasta 2030), la cobertura de los servicios en 2025 y las tasas de sero</w:t>
      </w:r>
      <w:r w:rsidR="00D918E9">
        <w:rPr>
          <w:rFonts w:ascii="Calibri" w:hAnsi="Calibri" w:cs="Calibri"/>
          <w:sz w:val="22"/>
          <w:szCs w:val="22"/>
          <w:lang w:val="es-ES"/>
        </w:rPr>
        <w:t>-</w:t>
      </w:r>
      <w:r w:rsidRPr="45F5878E">
        <w:rPr>
          <w:rFonts w:ascii="Calibri" w:hAnsi="Calibri" w:cs="Calibri"/>
          <w:sz w:val="22"/>
          <w:szCs w:val="22"/>
          <w:lang w:val="es-ES"/>
        </w:rPr>
        <w:t xml:space="preserve">discordancia del VIH (relevantes para las necesidades de PrEP) se han rellenado previamente basándose en datos publicados por los países (incluidos, entre otros, los </w:t>
      </w:r>
      <w:r w:rsidRPr="004C797A">
        <w:rPr>
          <w:rFonts w:ascii="Calibri" w:hAnsi="Calibri" w:cs="Calibri"/>
          <w:sz w:val="22"/>
          <w:szCs w:val="22"/>
          <w:lang w:val="es-ES"/>
        </w:rPr>
        <w:t xml:space="preserve">informes del </w:t>
      </w:r>
      <w:r w:rsidR="00B74952" w:rsidRPr="004C797A">
        <w:rPr>
          <w:rFonts w:ascii="Calibri" w:hAnsi="Calibri" w:cs="Calibri"/>
          <w:sz w:val="22"/>
          <w:szCs w:val="22"/>
          <w:lang w:val="es-ES"/>
        </w:rPr>
        <w:t>Monitoreo Global</w:t>
      </w:r>
      <w:r w:rsidRPr="004C797A">
        <w:rPr>
          <w:rFonts w:ascii="Calibri" w:hAnsi="Calibri" w:cs="Calibri"/>
          <w:sz w:val="22"/>
          <w:szCs w:val="22"/>
          <w:lang w:val="es-ES"/>
        </w:rPr>
        <w:t xml:space="preserve"> del SIDA) u otras bases de datos públicas estandarizadas (encuestas nacionales de hogares; estimaciones consolidadas del tamaño de la población de ONUSIDA, también utilizadas para el establecimiento de objetivos, la planificación de la sostenibilidad y las estimaciones de infección de poblaciones clave a nivel mundial y regional). </w:t>
      </w:r>
    </w:p>
    <w:p w14:paraId="5465CE97" w14:textId="71142CE5" w:rsidR="73315707" w:rsidRPr="004C797A" w:rsidRDefault="2FA8C15F" w:rsidP="45F5878E">
      <w:pPr>
        <w:rPr>
          <w:rFonts w:ascii="Calibri" w:hAnsi="Calibri" w:cs="Calibri"/>
          <w:sz w:val="22"/>
          <w:szCs w:val="22"/>
          <w:lang w:val="es-ES"/>
        </w:rPr>
      </w:pPr>
      <w:r w:rsidRPr="004C797A">
        <w:rPr>
          <w:rFonts w:ascii="Calibri" w:hAnsi="Calibri" w:cs="Calibri"/>
          <w:sz w:val="22"/>
          <w:szCs w:val="22"/>
          <w:lang w:val="es-ES"/>
        </w:rPr>
        <w:t xml:space="preserve">El tamaño de las poblaciones clave se basa en las estimaciones nacionales del tamaño de la población utilizadas en la ronda de calibraciones del modelo de objetivos de 2025. Las cifras de mujeres embarazadas infectadas por el VIH proceden de la ronda de 2025 de los archivos nacionales Spectrum AIM, y las parejas serodiscordantes se estimaron a partir de la prevalencia en dichos archivos AIM. Las cifras totales de beneficiarios de la PrEP en 2024 se tomaron del GAM; al no disponerse de datos completos sobre los beneficiarios de la PrEP por población clave individual, estos se distribuyeron proporcionalmente entre las subpoblaciones. Los usuarios pueden modificar cualquiera de estos datos si disponen de información más reciente. </w:t>
      </w:r>
    </w:p>
    <w:p w14:paraId="007327AE" w14:textId="3C94F302" w:rsidR="73315707" w:rsidRPr="004C797A" w:rsidRDefault="53B68B66" w:rsidP="45F5878E">
      <w:pPr>
        <w:rPr>
          <w:rFonts w:ascii="Calibri" w:hAnsi="Calibri" w:cs="Calibri"/>
          <w:sz w:val="22"/>
          <w:szCs w:val="22"/>
          <w:lang w:val="es-ES"/>
        </w:rPr>
      </w:pPr>
      <w:r w:rsidRPr="004C797A">
        <w:rPr>
          <w:rFonts w:ascii="Calibri" w:hAnsi="Calibri" w:cs="Calibri"/>
          <w:sz w:val="22"/>
          <w:szCs w:val="22"/>
          <w:lang w:val="es-ES"/>
        </w:rPr>
        <w:t>Esta herramienta no pretende sustituir a las herramientas existentes (</w:t>
      </w:r>
      <w:r w:rsidRPr="004C797A">
        <w:rPr>
          <w:rFonts w:ascii="Calibri" w:hAnsi="Calibri" w:cs="Calibri"/>
          <w:i/>
          <w:iCs/>
          <w:sz w:val="22"/>
          <w:szCs w:val="22"/>
          <w:lang w:val="es-ES"/>
        </w:rPr>
        <w:t>PrEP-</w:t>
      </w:r>
      <w:proofErr w:type="spellStart"/>
      <w:r w:rsidRPr="004C797A">
        <w:rPr>
          <w:rFonts w:ascii="Calibri" w:hAnsi="Calibri" w:cs="Calibri"/>
          <w:i/>
          <w:iCs/>
          <w:sz w:val="22"/>
          <w:szCs w:val="22"/>
          <w:lang w:val="es-ES"/>
        </w:rPr>
        <w:t>it</w:t>
      </w:r>
      <w:proofErr w:type="spellEnd"/>
      <w:r w:rsidRPr="004C797A">
        <w:rPr>
          <w:rFonts w:ascii="Calibri" w:hAnsi="Calibri" w:cs="Calibri"/>
          <w:i/>
          <w:iCs/>
          <w:sz w:val="22"/>
          <w:szCs w:val="22"/>
          <w:lang w:val="es-ES"/>
        </w:rPr>
        <w:t>, DMPPT2, herramienta de estimación de las necesidades de preservativos</w:t>
      </w:r>
      <w:r w:rsidRPr="004C797A">
        <w:rPr>
          <w:rFonts w:ascii="Calibri" w:hAnsi="Calibri" w:cs="Calibri"/>
          <w:sz w:val="22"/>
          <w:szCs w:val="22"/>
          <w:lang w:val="es-ES"/>
        </w:rPr>
        <w:t xml:space="preserve">), que contienen detalles adicionales, sino proporcionar una evaluación rápida de las necesidades como parte del proceso de estimación. </w:t>
      </w:r>
    </w:p>
    <w:p w14:paraId="33F27695" w14:textId="4416499C" w:rsidR="2FA8C15F" w:rsidRPr="00A14F93" w:rsidRDefault="2FA8C15F" w:rsidP="73315707">
      <w:pPr>
        <w:rPr>
          <w:lang w:val="es-PE"/>
        </w:rPr>
      </w:pPr>
      <w:r w:rsidRPr="004C797A">
        <w:rPr>
          <w:rFonts w:ascii="Calibri" w:hAnsi="Calibri" w:cs="Calibri"/>
          <w:sz w:val="22"/>
          <w:szCs w:val="22"/>
          <w:lang w:val="es-PE"/>
        </w:rPr>
        <w:t xml:space="preserve">En el caso de los países prioritarios para la </w:t>
      </w:r>
      <w:r w:rsidR="00F3735C" w:rsidRPr="004C797A">
        <w:rPr>
          <w:rFonts w:ascii="Calibri" w:hAnsi="Calibri" w:cs="Calibri"/>
          <w:sz w:val="22"/>
          <w:szCs w:val="22"/>
          <w:lang w:val="es-PE"/>
        </w:rPr>
        <w:t>circuncisión médica masculina voluntaria (</w:t>
      </w:r>
      <w:r w:rsidR="0068074F" w:rsidRPr="004C797A">
        <w:rPr>
          <w:rFonts w:ascii="Calibri" w:hAnsi="Calibri" w:cs="Calibri"/>
          <w:sz w:val="22"/>
          <w:szCs w:val="22"/>
          <w:lang w:val="es-PE"/>
        </w:rPr>
        <w:t>CMM</w:t>
      </w:r>
      <w:r w:rsidR="00F3735C" w:rsidRPr="004C797A">
        <w:rPr>
          <w:rFonts w:ascii="Calibri" w:hAnsi="Calibri" w:cs="Calibri"/>
          <w:sz w:val="22"/>
          <w:szCs w:val="22"/>
          <w:lang w:val="es-PE"/>
        </w:rPr>
        <w:t>V)</w:t>
      </w:r>
      <w:r w:rsidRPr="004C797A">
        <w:rPr>
          <w:rFonts w:ascii="Calibri" w:hAnsi="Calibri" w:cs="Calibri"/>
          <w:sz w:val="22"/>
          <w:szCs w:val="22"/>
          <w:lang w:val="es-PE"/>
        </w:rPr>
        <w:t xml:space="preserve"> los objetivos de circuncisión se establecen por distrito, tal y como se introducen en la herramienta </w:t>
      </w:r>
      <w:r w:rsidRPr="00A14F93">
        <w:rPr>
          <w:rFonts w:ascii="Calibri" w:hAnsi="Calibri" w:cs="Calibri"/>
          <w:sz w:val="22"/>
          <w:szCs w:val="22"/>
          <w:lang w:val="es-PE"/>
        </w:rPr>
        <w:t xml:space="preserve">DMPPT2. Los usuarios pueden actualizar cualquiera de los datos introducidos, pero esperamos que se centren principalmente en establecer los objetivos para 2030 y examinar las necesidades resultantes. </w:t>
      </w:r>
    </w:p>
    <w:p w14:paraId="03BFEF99" w14:textId="51BD3DB3" w:rsidR="73315707" w:rsidRPr="00A14F93" w:rsidRDefault="73315707" w:rsidP="73315707">
      <w:pPr>
        <w:rPr>
          <w:rFonts w:ascii="Calibri" w:hAnsi="Calibri" w:cs="Calibri"/>
          <w:sz w:val="22"/>
          <w:szCs w:val="22"/>
          <w:lang w:val="es-PE"/>
        </w:rPr>
      </w:pPr>
    </w:p>
    <w:p w14:paraId="2A05A209" w14:textId="389EFD34" w:rsidR="73315707" w:rsidRPr="00A14F93" w:rsidRDefault="73315707" w:rsidP="73315707">
      <w:pPr>
        <w:rPr>
          <w:rFonts w:ascii="Calibri" w:hAnsi="Calibri" w:cs="Calibri"/>
          <w:sz w:val="22"/>
          <w:szCs w:val="22"/>
          <w:lang w:val="es-PE"/>
        </w:rPr>
      </w:pPr>
    </w:p>
    <w:p w14:paraId="322A1A25" w14:textId="6EAC0199" w:rsidR="2FA8C15F" w:rsidRPr="00A14F93" w:rsidRDefault="2FA8C15F" w:rsidP="45F5878E">
      <w:pPr>
        <w:pStyle w:val="Style2"/>
        <w:rPr>
          <w:lang w:val="es-PE"/>
        </w:rPr>
      </w:pPr>
      <w:r w:rsidRPr="00A14F93">
        <w:rPr>
          <w:lang w:val="es-PE"/>
        </w:rPr>
        <w:lastRenderedPageBreak/>
        <w:t>Versiones del software</w:t>
      </w:r>
    </w:p>
    <w:p w14:paraId="6640FF61" w14:textId="6F029CAD" w:rsidR="73315707" w:rsidRDefault="2FA8C15F" w:rsidP="45F5878E">
      <w:pPr>
        <w:rPr>
          <w:rFonts w:ascii="Calibri" w:hAnsi="Calibri" w:cs="Calibri"/>
          <w:sz w:val="22"/>
          <w:szCs w:val="22"/>
          <w:lang w:val="es-ES"/>
        </w:rPr>
      </w:pPr>
      <w:r w:rsidRPr="45F5878E">
        <w:rPr>
          <w:rFonts w:ascii="Calibri" w:hAnsi="Calibri" w:cs="Calibri"/>
          <w:sz w:val="22"/>
          <w:szCs w:val="22"/>
          <w:lang w:val="es-ES"/>
        </w:rPr>
        <w:t>El software Spectrum está ahora disponible en dos versiones:</w:t>
      </w:r>
    </w:p>
    <w:p w14:paraId="0546A3E7" w14:textId="0D2B491D" w:rsidR="2FA8C15F" w:rsidRPr="00A14F93" w:rsidRDefault="2FA8C15F" w:rsidP="45F5878E">
      <w:pPr>
        <w:pStyle w:val="ListParagraph"/>
        <w:numPr>
          <w:ilvl w:val="0"/>
          <w:numId w:val="1"/>
        </w:numPr>
        <w:rPr>
          <w:rFonts w:ascii="Calibri" w:hAnsi="Calibri" w:cs="Calibri"/>
          <w:sz w:val="22"/>
          <w:szCs w:val="22"/>
          <w:lang w:val="es-PE"/>
        </w:rPr>
      </w:pPr>
      <w:r w:rsidRPr="00A14F93">
        <w:rPr>
          <w:rFonts w:ascii="Calibri" w:hAnsi="Calibri" w:cs="Calibri"/>
          <w:sz w:val="22"/>
          <w:szCs w:val="22"/>
          <w:lang w:val="es-PE"/>
        </w:rPr>
        <w:t>una versión de escritorio para Windows, que debe descargarse e instalarse en el ordenador, y</w:t>
      </w:r>
    </w:p>
    <w:p w14:paraId="3710E9A3" w14:textId="0678D52C" w:rsidR="2FA8C15F" w:rsidRPr="00A14F93" w:rsidRDefault="2FA8C15F" w:rsidP="45F5878E">
      <w:pPr>
        <w:pStyle w:val="ListParagraph"/>
        <w:numPr>
          <w:ilvl w:val="0"/>
          <w:numId w:val="1"/>
        </w:numPr>
        <w:rPr>
          <w:rFonts w:ascii="Calibri" w:hAnsi="Calibri" w:cs="Calibri"/>
          <w:sz w:val="22"/>
          <w:szCs w:val="22"/>
          <w:lang w:val="es-PE"/>
        </w:rPr>
      </w:pPr>
      <w:r w:rsidRPr="00A14F93">
        <w:rPr>
          <w:rFonts w:ascii="Calibri" w:hAnsi="Calibri" w:cs="Calibri"/>
          <w:sz w:val="22"/>
          <w:szCs w:val="22"/>
          <w:lang w:val="es-PE"/>
        </w:rPr>
        <w:t>una versión en línea, que ahora cuenta con todas las funciones de la versión de escritorio, incluidas EPP, CSAVR y Shiny90.</w:t>
      </w:r>
    </w:p>
    <w:p w14:paraId="5A07F136" w14:textId="25987BA7" w:rsidR="73315707" w:rsidRPr="00A14F93" w:rsidRDefault="73315707" w:rsidP="73315707">
      <w:pPr>
        <w:rPr>
          <w:rFonts w:ascii="Calibri" w:hAnsi="Calibri" w:cs="Calibri"/>
          <w:sz w:val="22"/>
          <w:szCs w:val="22"/>
          <w:lang w:val="es-PE"/>
        </w:rPr>
      </w:pPr>
    </w:p>
    <w:sectPr w:rsidR="73315707" w:rsidRPr="00A14F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440BD"/>
    <w:multiLevelType w:val="hybridMultilevel"/>
    <w:tmpl w:val="A21804AA"/>
    <w:lvl w:ilvl="0" w:tplc="2C866C86">
      <w:start w:val="1"/>
      <w:numFmt w:val="bullet"/>
      <w:lvlText w:val=""/>
      <w:lvlJc w:val="left"/>
      <w:pPr>
        <w:ind w:left="360" w:hanging="360"/>
      </w:pPr>
      <w:rPr>
        <w:rFonts w:ascii="Symbol" w:hAnsi="Symbol" w:hint="default"/>
      </w:rPr>
    </w:lvl>
    <w:lvl w:ilvl="1" w:tplc="B77EDBA2">
      <w:start w:val="1"/>
      <w:numFmt w:val="bullet"/>
      <w:lvlText w:val="o"/>
      <w:lvlJc w:val="left"/>
      <w:pPr>
        <w:ind w:left="1080" w:hanging="360"/>
      </w:pPr>
      <w:rPr>
        <w:rFonts w:ascii="Courier New" w:hAnsi="Courier New" w:hint="default"/>
      </w:rPr>
    </w:lvl>
    <w:lvl w:ilvl="2" w:tplc="93C2F1D0">
      <w:start w:val="1"/>
      <w:numFmt w:val="bullet"/>
      <w:lvlText w:val=""/>
      <w:lvlJc w:val="left"/>
      <w:pPr>
        <w:ind w:left="1800" w:hanging="360"/>
      </w:pPr>
      <w:rPr>
        <w:rFonts w:ascii="Wingdings" w:hAnsi="Wingdings" w:hint="default"/>
      </w:rPr>
    </w:lvl>
    <w:lvl w:ilvl="3" w:tplc="503C64DC">
      <w:start w:val="1"/>
      <w:numFmt w:val="bullet"/>
      <w:lvlText w:val=""/>
      <w:lvlJc w:val="left"/>
      <w:pPr>
        <w:ind w:left="2520" w:hanging="360"/>
      </w:pPr>
      <w:rPr>
        <w:rFonts w:ascii="Symbol" w:hAnsi="Symbol" w:hint="default"/>
      </w:rPr>
    </w:lvl>
    <w:lvl w:ilvl="4" w:tplc="AB8EF912">
      <w:start w:val="1"/>
      <w:numFmt w:val="bullet"/>
      <w:lvlText w:val="o"/>
      <w:lvlJc w:val="left"/>
      <w:pPr>
        <w:ind w:left="3240" w:hanging="360"/>
      </w:pPr>
      <w:rPr>
        <w:rFonts w:ascii="Courier New" w:hAnsi="Courier New" w:hint="default"/>
      </w:rPr>
    </w:lvl>
    <w:lvl w:ilvl="5" w:tplc="BEF40884">
      <w:start w:val="1"/>
      <w:numFmt w:val="bullet"/>
      <w:lvlText w:val=""/>
      <w:lvlJc w:val="left"/>
      <w:pPr>
        <w:ind w:left="3960" w:hanging="360"/>
      </w:pPr>
      <w:rPr>
        <w:rFonts w:ascii="Wingdings" w:hAnsi="Wingdings" w:hint="default"/>
      </w:rPr>
    </w:lvl>
    <w:lvl w:ilvl="6" w:tplc="F13662A2">
      <w:start w:val="1"/>
      <w:numFmt w:val="bullet"/>
      <w:lvlText w:val=""/>
      <w:lvlJc w:val="left"/>
      <w:pPr>
        <w:ind w:left="4680" w:hanging="360"/>
      </w:pPr>
      <w:rPr>
        <w:rFonts w:ascii="Symbol" w:hAnsi="Symbol" w:hint="default"/>
      </w:rPr>
    </w:lvl>
    <w:lvl w:ilvl="7" w:tplc="3A2C011A">
      <w:start w:val="1"/>
      <w:numFmt w:val="bullet"/>
      <w:lvlText w:val="o"/>
      <w:lvlJc w:val="left"/>
      <w:pPr>
        <w:ind w:left="5400" w:hanging="360"/>
      </w:pPr>
      <w:rPr>
        <w:rFonts w:ascii="Courier New" w:hAnsi="Courier New" w:hint="default"/>
      </w:rPr>
    </w:lvl>
    <w:lvl w:ilvl="8" w:tplc="921CB3FA">
      <w:start w:val="1"/>
      <w:numFmt w:val="bullet"/>
      <w:lvlText w:val=""/>
      <w:lvlJc w:val="left"/>
      <w:pPr>
        <w:ind w:left="6120" w:hanging="360"/>
      </w:pPr>
      <w:rPr>
        <w:rFonts w:ascii="Wingdings" w:hAnsi="Wingdings" w:hint="default"/>
      </w:rPr>
    </w:lvl>
  </w:abstractNum>
  <w:abstractNum w:abstractNumId="1" w15:restartNumberingAfterBreak="0">
    <w:nsid w:val="083B7DCD"/>
    <w:multiLevelType w:val="hybridMultilevel"/>
    <w:tmpl w:val="77742F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EB2436"/>
    <w:multiLevelType w:val="hybridMultilevel"/>
    <w:tmpl w:val="77742F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1D211A6"/>
    <w:multiLevelType w:val="hybridMultilevel"/>
    <w:tmpl w:val="2BE8CCD4"/>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3D9123FB"/>
    <w:multiLevelType w:val="hybridMultilevel"/>
    <w:tmpl w:val="1E448E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2CC2D6C"/>
    <w:multiLevelType w:val="hybridMultilevel"/>
    <w:tmpl w:val="DED088F2"/>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812605366">
    <w:abstractNumId w:val="0"/>
  </w:num>
  <w:num w:numId="2" w16cid:durableId="1241330081">
    <w:abstractNumId w:val="1"/>
  </w:num>
  <w:num w:numId="3" w16cid:durableId="1875382595">
    <w:abstractNumId w:val="2"/>
  </w:num>
  <w:num w:numId="4" w16cid:durableId="820535438">
    <w:abstractNumId w:val="5"/>
  </w:num>
  <w:num w:numId="5" w16cid:durableId="860045283">
    <w:abstractNumId w:val="3"/>
  </w:num>
  <w:num w:numId="6" w16cid:durableId="11720686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D93"/>
    <w:rsid w:val="00020264"/>
    <w:rsid w:val="00024A8A"/>
    <w:rsid w:val="00036C93"/>
    <w:rsid w:val="00042232"/>
    <w:rsid w:val="00042CBD"/>
    <w:rsid w:val="00043440"/>
    <w:rsid w:val="000760DA"/>
    <w:rsid w:val="00076393"/>
    <w:rsid w:val="00092BD2"/>
    <w:rsid w:val="000C5C70"/>
    <w:rsid w:val="000D1ECF"/>
    <w:rsid w:val="000D6164"/>
    <w:rsid w:val="000E046A"/>
    <w:rsid w:val="000E64FE"/>
    <w:rsid w:val="000F738D"/>
    <w:rsid w:val="00112CCA"/>
    <w:rsid w:val="00144D6B"/>
    <w:rsid w:val="00157DCE"/>
    <w:rsid w:val="001670B6"/>
    <w:rsid w:val="00183BDD"/>
    <w:rsid w:val="001902BF"/>
    <w:rsid w:val="001939A6"/>
    <w:rsid w:val="001B12B7"/>
    <w:rsid w:val="001B1E75"/>
    <w:rsid w:val="001C251C"/>
    <w:rsid w:val="001E6496"/>
    <w:rsid w:val="00200052"/>
    <w:rsid w:val="002545EE"/>
    <w:rsid w:val="00260640"/>
    <w:rsid w:val="0026157F"/>
    <w:rsid w:val="00294DDB"/>
    <w:rsid w:val="0029695A"/>
    <w:rsid w:val="002A1817"/>
    <w:rsid w:val="002A28B1"/>
    <w:rsid w:val="002B1E7E"/>
    <w:rsid w:val="003644EF"/>
    <w:rsid w:val="00382B62"/>
    <w:rsid w:val="003B434A"/>
    <w:rsid w:val="003D4301"/>
    <w:rsid w:val="003F231B"/>
    <w:rsid w:val="00406695"/>
    <w:rsid w:val="00414729"/>
    <w:rsid w:val="0042505F"/>
    <w:rsid w:val="0043392C"/>
    <w:rsid w:val="00434ADC"/>
    <w:rsid w:val="00470B06"/>
    <w:rsid w:val="00472CB7"/>
    <w:rsid w:val="004A6B03"/>
    <w:rsid w:val="004A7AA7"/>
    <w:rsid w:val="004C2316"/>
    <w:rsid w:val="004C797A"/>
    <w:rsid w:val="004E02C0"/>
    <w:rsid w:val="004F61EB"/>
    <w:rsid w:val="0052142B"/>
    <w:rsid w:val="0052472B"/>
    <w:rsid w:val="00534118"/>
    <w:rsid w:val="00535A10"/>
    <w:rsid w:val="00537C75"/>
    <w:rsid w:val="005566B0"/>
    <w:rsid w:val="00584955"/>
    <w:rsid w:val="005C5164"/>
    <w:rsid w:val="005E3B2A"/>
    <w:rsid w:val="005E48D5"/>
    <w:rsid w:val="005E6773"/>
    <w:rsid w:val="005F24D4"/>
    <w:rsid w:val="005F4C5E"/>
    <w:rsid w:val="00626761"/>
    <w:rsid w:val="006373B7"/>
    <w:rsid w:val="006424DE"/>
    <w:rsid w:val="0068074F"/>
    <w:rsid w:val="00691D15"/>
    <w:rsid w:val="006A6F9C"/>
    <w:rsid w:val="006B46E9"/>
    <w:rsid w:val="006D0BC3"/>
    <w:rsid w:val="006F7FC6"/>
    <w:rsid w:val="00711227"/>
    <w:rsid w:val="00711796"/>
    <w:rsid w:val="0071523F"/>
    <w:rsid w:val="007219D5"/>
    <w:rsid w:val="00740A99"/>
    <w:rsid w:val="00746703"/>
    <w:rsid w:val="00756A32"/>
    <w:rsid w:val="0076482D"/>
    <w:rsid w:val="00767C69"/>
    <w:rsid w:val="00771A15"/>
    <w:rsid w:val="007874ED"/>
    <w:rsid w:val="00792FD6"/>
    <w:rsid w:val="007A5E6A"/>
    <w:rsid w:val="007B3AC9"/>
    <w:rsid w:val="007D70CD"/>
    <w:rsid w:val="007E0DAC"/>
    <w:rsid w:val="007E2A93"/>
    <w:rsid w:val="0080543C"/>
    <w:rsid w:val="00812D77"/>
    <w:rsid w:val="00821AA6"/>
    <w:rsid w:val="00842D61"/>
    <w:rsid w:val="00843B5C"/>
    <w:rsid w:val="00874ED4"/>
    <w:rsid w:val="008A081F"/>
    <w:rsid w:val="008D0DF8"/>
    <w:rsid w:val="008D2C8A"/>
    <w:rsid w:val="008E3FB3"/>
    <w:rsid w:val="008F62C2"/>
    <w:rsid w:val="009005DE"/>
    <w:rsid w:val="00914D41"/>
    <w:rsid w:val="009306AB"/>
    <w:rsid w:val="0094018F"/>
    <w:rsid w:val="009A7EE2"/>
    <w:rsid w:val="009B2235"/>
    <w:rsid w:val="009C1198"/>
    <w:rsid w:val="009D305F"/>
    <w:rsid w:val="009E3A2C"/>
    <w:rsid w:val="009E611F"/>
    <w:rsid w:val="00A14F93"/>
    <w:rsid w:val="00A21A32"/>
    <w:rsid w:val="00A279FD"/>
    <w:rsid w:val="00A43F01"/>
    <w:rsid w:val="00A6278D"/>
    <w:rsid w:val="00AC0B28"/>
    <w:rsid w:val="00AE293E"/>
    <w:rsid w:val="00AE429E"/>
    <w:rsid w:val="00AE48FB"/>
    <w:rsid w:val="00AF71B7"/>
    <w:rsid w:val="00B11884"/>
    <w:rsid w:val="00B15BBB"/>
    <w:rsid w:val="00B424C2"/>
    <w:rsid w:val="00B47495"/>
    <w:rsid w:val="00B53454"/>
    <w:rsid w:val="00B64B9E"/>
    <w:rsid w:val="00B74952"/>
    <w:rsid w:val="00B77D64"/>
    <w:rsid w:val="00B80D0D"/>
    <w:rsid w:val="00B84363"/>
    <w:rsid w:val="00B90471"/>
    <w:rsid w:val="00B95476"/>
    <w:rsid w:val="00BA7DEB"/>
    <w:rsid w:val="00BB08C4"/>
    <w:rsid w:val="00BB16D1"/>
    <w:rsid w:val="00BB2A29"/>
    <w:rsid w:val="00BD4205"/>
    <w:rsid w:val="00BE41E8"/>
    <w:rsid w:val="00BE5C49"/>
    <w:rsid w:val="00C10189"/>
    <w:rsid w:val="00C42E9E"/>
    <w:rsid w:val="00C506D5"/>
    <w:rsid w:val="00C56CCD"/>
    <w:rsid w:val="00C650CA"/>
    <w:rsid w:val="00C77763"/>
    <w:rsid w:val="00CA3C2A"/>
    <w:rsid w:val="00CA72E2"/>
    <w:rsid w:val="00CB11E9"/>
    <w:rsid w:val="00CE6DCA"/>
    <w:rsid w:val="00CF3B2D"/>
    <w:rsid w:val="00CF663C"/>
    <w:rsid w:val="00D5346C"/>
    <w:rsid w:val="00D918E9"/>
    <w:rsid w:val="00D9274E"/>
    <w:rsid w:val="00DB41CB"/>
    <w:rsid w:val="00DD4F7E"/>
    <w:rsid w:val="00E1627F"/>
    <w:rsid w:val="00E40432"/>
    <w:rsid w:val="00E44FEA"/>
    <w:rsid w:val="00E47CA9"/>
    <w:rsid w:val="00E71B72"/>
    <w:rsid w:val="00E72C88"/>
    <w:rsid w:val="00E9155A"/>
    <w:rsid w:val="00ED186E"/>
    <w:rsid w:val="00EF1F48"/>
    <w:rsid w:val="00F10F1E"/>
    <w:rsid w:val="00F166DC"/>
    <w:rsid w:val="00F20617"/>
    <w:rsid w:val="00F21E28"/>
    <w:rsid w:val="00F3735C"/>
    <w:rsid w:val="00F445B6"/>
    <w:rsid w:val="00F5419E"/>
    <w:rsid w:val="00F632B5"/>
    <w:rsid w:val="00F8194C"/>
    <w:rsid w:val="00FA7C7B"/>
    <w:rsid w:val="00FB2D93"/>
    <w:rsid w:val="00FC565C"/>
    <w:rsid w:val="00FD36D3"/>
    <w:rsid w:val="00FD78AF"/>
    <w:rsid w:val="00FE1468"/>
    <w:rsid w:val="00FE2350"/>
    <w:rsid w:val="00FF031C"/>
    <w:rsid w:val="00FF5695"/>
    <w:rsid w:val="046C0A13"/>
    <w:rsid w:val="161F7154"/>
    <w:rsid w:val="169121CC"/>
    <w:rsid w:val="216F11C1"/>
    <w:rsid w:val="23C2BA82"/>
    <w:rsid w:val="23CFAB29"/>
    <w:rsid w:val="2659E401"/>
    <w:rsid w:val="2A66C832"/>
    <w:rsid w:val="2CFF1DBB"/>
    <w:rsid w:val="2FA8C15F"/>
    <w:rsid w:val="4162F8D2"/>
    <w:rsid w:val="447C2634"/>
    <w:rsid w:val="45F5878E"/>
    <w:rsid w:val="4745F7F3"/>
    <w:rsid w:val="4B99EFE5"/>
    <w:rsid w:val="53B68B66"/>
    <w:rsid w:val="6396F31D"/>
    <w:rsid w:val="67A6D2B7"/>
    <w:rsid w:val="73315707"/>
    <w:rsid w:val="76D3E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70943"/>
  <w15:chartTrackingRefBased/>
  <w15:docId w15:val="{40C6EBB0-32D5-457D-A94F-24C6476A0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2D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B2D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2D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2D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2D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2D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2D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2D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2D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2D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B2D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2D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2D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2D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2D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2D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2D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2D93"/>
    <w:rPr>
      <w:rFonts w:eastAsiaTheme="majorEastAsia" w:cstheme="majorBidi"/>
      <w:color w:val="272727" w:themeColor="text1" w:themeTint="D8"/>
    </w:rPr>
  </w:style>
  <w:style w:type="paragraph" w:styleId="Title">
    <w:name w:val="Title"/>
    <w:basedOn w:val="Normal"/>
    <w:next w:val="Normal"/>
    <w:link w:val="TitleChar"/>
    <w:uiPriority w:val="10"/>
    <w:qFormat/>
    <w:rsid w:val="00FB2D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2D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2D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2D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2D93"/>
    <w:pPr>
      <w:spacing w:before="160"/>
      <w:jc w:val="center"/>
    </w:pPr>
    <w:rPr>
      <w:i/>
      <w:iCs/>
      <w:color w:val="404040" w:themeColor="text1" w:themeTint="BF"/>
    </w:rPr>
  </w:style>
  <w:style w:type="character" w:customStyle="1" w:styleId="QuoteChar">
    <w:name w:val="Quote Char"/>
    <w:basedOn w:val="DefaultParagraphFont"/>
    <w:link w:val="Quote"/>
    <w:uiPriority w:val="29"/>
    <w:rsid w:val="00FB2D93"/>
    <w:rPr>
      <w:i/>
      <w:iCs/>
      <w:color w:val="404040" w:themeColor="text1" w:themeTint="BF"/>
    </w:rPr>
  </w:style>
  <w:style w:type="paragraph" w:styleId="ListParagraph">
    <w:name w:val="List Paragraph"/>
    <w:basedOn w:val="Normal"/>
    <w:uiPriority w:val="34"/>
    <w:qFormat/>
    <w:rsid w:val="00FB2D93"/>
    <w:pPr>
      <w:ind w:left="720"/>
      <w:contextualSpacing/>
    </w:pPr>
  </w:style>
  <w:style w:type="character" w:styleId="IntenseEmphasis">
    <w:name w:val="Intense Emphasis"/>
    <w:basedOn w:val="DefaultParagraphFont"/>
    <w:uiPriority w:val="21"/>
    <w:qFormat/>
    <w:rsid w:val="00FB2D93"/>
    <w:rPr>
      <w:i/>
      <w:iCs/>
      <w:color w:val="0F4761" w:themeColor="accent1" w:themeShade="BF"/>
    </w:rPr>
  </w:style>
  <w:style w:type="paragraph" w:styleId="IntenseQuote">
    <w:name w:val="Intense Quote"/>
    <w:basedOn w:val="Normal"/>
    <w:next w:val="Normal"/>
    <w:link w:val="IntenseQuoteChar"/>
    <w:uiPriority w:val="30"/>
    <w:qFormat/>
    <w:rsid w:val="00FB2D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2D93"/>
    <w:rPr>
      <w:i/>
      <w:iCs/>
      <w:color w:val="0F4761" w:themeColor="accent1" w:themeShade="BF"/>
    </w:rPr>
  </w:style>
  <w:style w:type="character" w:styleId="IntenseReference">
    <w:name w:val="Intense Reference"/>
    <w:basedOn w:val="DefaultParagraphFont"/>
    <w:uiPriority w:val="32"/>
    <w:qFormat/>
    <w:rsid w:val="00FB2D93"/>
    <w:rPr>
      <w:b/>
      <w:bCs/>
      <w:smallCaps/>
      <w:color w:val="0F4761" w:themeColor="accent1" w:themeShade="BF"/>
      <w:spacing w:val="5"/>
    </w:rPr>
  </w:style>
  <w:style w:type="character" w:styleId="CommentReference">
    <w:name w:val="annotation reference"/>
    <w:basedOn w:val="DefaultParagraphFont"/>
    <w:uiPriority w:val="99"/>
    <w:semiHidden/>
    <w:unhideWhenUsed/>
    <w:rsid w:val="0043392C"/>
    <w:rPr>
      <w:sz w:val="16"/>
      <w:szCs w:val="16"/>
    </w:rPr>
  </w:style>
  <w:style w:type="paragraph" w:styleId="CommentText">
    <w:name w:val="annotation text"/>
    <w:basedOn w:val="Normal"/>
    <w:link w:val="CommentTextChar"/>
    <w:uiPriority w:val="99"/>
    <w:unhideWhenUsed/>
    <w:rsid w:val="0043392C"/>
    <w:pPr>
      <w:spacing w:line="240" w:lineRule="auto"/>
    </w:pPr>
    <w:rPr>
      <w:sz w:val="20"/>
      <w:szCs w:val="20"/>
    </w:rPr>
  </w:style>
  <w:style w:type="character" w:customStyle="1" w:styleId="CommentTextChar">
    <w:name w:val="Comment Text Char"/>
    <w:basedOn w:val="DefaultParagraphFont"/>
    <w:link w:val="CommentText"/>
    <w:uiPriority w:val="99"/>
    <w:rsid w:val="0043392C"/>
    <w:rPr>
      <w:sz w:val="20"/>
      <w:szCs w:val="20"/>
    </w:rPr>
  </w:style>
  <w:style w:type="paragraph" w:styleId="CommentSubject">
    <w:name w:val="annotation subject"/>
    <w:basedOn w:val="CommentText"/>
    <w:next w:val="CommentText"/>
    <w:link w:val="CommentSubjectChar"/>
    <w:uiPriority w:val="99"/>
    <w:semiHidden/>
    <w:unhideWhenUsed/>
    <w:rsid w:val="0043392C"/>
    <w:rPr>
      <w:b/>
      <w:bCs/>
    </w:rPr>
  </w:style>
  <w:style w:type="character" w:customStyle="1" w:styleId="CommentSubjectChar">
    <w:name w:val="Comment Subject Char"/>
    <w:basedOn w:val="CommentTextChar"/>
    <w:link w:val="CommentSubject"/>
    <w:uiPriority w:val="99"/>
    <w:semiHidden/>
    <w:rsid w:val="0043392C"/>
    <w:rPr>
      <w:b/>
      <w:bCs/>
      <w:sz w:val="20"/>
      <w:szCs w:val="20"/>
    </w:rPr>
  </w:style>
  <w:style w:type="paragraph" w:styleId="Revision">
    <w:name w:val="Revision"/>
    <w:hidden/>
    <w:uiPriority w:val="99"/>
    <w:semiHidden/>
    <w:rsid w:val="00092BD2"/>
    <w:pPr>
      <w:spacing w:after="0" w:line="240" w:lineRule="auto"/>
    </w:pPr>
  </w:style>
  <w:style w:type="paragraph" w:customStyle="1" w:styleId="Style1">
    <w:name w:val="Style1"/>
    <w:basedOn w:val="Normal"/>
    <w:link w:val="Style1Char"/>
    <w:uiPriority w:val="1"/>
    <w:qFormat/>
    <w:rsid w:val="45F5878E"/>
    <w:pPr>
      <w:keepNext/>
      <w:keepLines/>
      <w:spacing w:before="360" w:after="80"/>
      <w:outlineLvl w:val="0"/>
    </w:pPr>
    <w:rPr>
      <w:rFonts w:ascii="Calibri" w:eastAsia="Calibri" w:hAnsi="Calibri" w:cs="Calibri"/>
      <w:b/>
      <w:bCs/>
      <w:color w:val="0F4761" w:themeColor="accent1" w:themeShade="BF"/>
      <w:sz w:val="22"/>
      <w:szCs w:val="22"/>
      <w:lang w:val="es-ES"/>
    </w:rPr>
  </w:style>
  <w:style w:type="character" w:customStyle="1" w:styleId="Style1Char">
    <w:name w:val="Style1 Char"/>
    <w:basedOn w:val="DefaultParagraphFont"/>
    <w:link w:val="Style1"/>
    <w:rsid w:val="45F5878E"/>
    <w:rPr>
      <w:rFonts w:ascii="Calibri" w:eastAsia="Calibri" w:hAnsi="Calibri" w:cs="Calibri"/>
      <w:b/>
      <w:bCs/>
      <w:color w:val="0F4761" w:themeColor="accent1" w:themeShade="BF"/>
      <w:sz w:val="22"/>
      <w:szCs w:val="22"/>
      <w:lang w:val="es-ES"/>
    </w:rPr>
  </w:style>
  <w:style w:type="paragraph" w:customStyle="1" w:styleId="Style2">
    <w:name w:val="Style2"/>
    <w:basedOn w:val="Normal"/>
    <w:link w:val="Style2Char"/>
    <w:uiPriority w:val="1"/>
    <w:qFormat/>
    <w:rsid w:val="45F5878E"/>
    <w:pPr>
      <w:keepNext/>
      <w:keepLines/>
      <w:spacing w:before="160" w:after="80"/>
      <w:outlineLvl w:val="1"/>
    </w:pPr>
    <w:rPr>
      <w:rFonts w:ascii="Calibri" w:eastAsia="Calibri" w:hAnsi="Calibri" w:cs="Calibri"/>
      <w:b/>
      <w:bCs/>
      <w:color w:val="0F4761" w:themeColor="accent1" w:themeShade="BF"/>
      <w:sz w:val="22"/>
      <w:szCs w:val="22"/>
    </w:rPr>
  </w:style>
  <w:style w:type="character" w:customStyle="1" w:styleId="Style2Char">
    <w:name w:val="Style2 Char"/>
    <w:basedOn w:val="DefaultParagraphFont"/>
    <w:link w:val="Style2"/>
    <w:rsid w:val="45F5878E"/>
    <w:rPr>
      <w:rFonts w:ascii="Calibri" w:eastAsia="Calibri" w:hAnsi="Calibri" w:cs="Calibri"/>
      <w:b/>
      <w:bCs/>
      <w:color w:val="0F4761" w:themeColor="accent1" w:themeShade="B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288ef829-98c5-46d1-83dc-c2ef7c814da2" xsi:nil="true"/>
    <TaxCatchAll xmlns="2ddeef39-65d3-4660-94f2-f063f949c57e" xsi:nil="true"/>
    <_ip_UnifiedCompliancePolicyProperties xmlns="http://schemas.microsoft.com/sharepoint/v3" xsi:nil="true"/>
    <lcf76f155ced4ddcb4097134ff3c332f xmlns="288ef829-98c5-46d1-83dc-c2ef7c814da2">
      <Terms xmlns="http://schemas.microsoft.com/office/infopath/2007/PartnerControls"/>
    </lcf76f155ced4ddcb4097134ff3c332f>
    <PrimeLastClassified xmlns="2ddeef39-65d3-4660-94f2-f063f949c57e" xsi:nil="true"/>
    <Language xmlns="288ef829-98c5-46d1-83dc-c2ef7c814da2">Spanish</Language>
    <Summary_x002f_Abstract xmlns="288ef829-98c5-46d1-83dc-c2ef7c814da2">The document outlines updates and new features in the Spectrum/AIM software for the 2026 HIV estimates round, including new program data inputs, updated mortality rates, enhanced prevention tools, and software version options.</Summary_x002f_Abstract>
    <EnterpriseKeyword xmlns="288ef829-98c5-46d1-83dc-c2ef7c814da2" xsi:nil="true"/>
    <PrimeCorrectedByUser xmlns="2ddeef39-65d3-4660-94f2-f063f949c57e" xsi:nil="true"/>
    <PrimeClassificationStatusDetails xmlns="2ddeef39-65d3-4660-94f2-f063f949c57e" xsi:nil="true"/>
    <PrimaryTopic_x002f_ThematicArea xmlns="288ef829-98c5-46d1-83dc-c2ef7c814da2">Epi Strategic Information</PrimaryTopic_x002f_ThematicArea>
    <LastReviewDate xmlns="288ef829-98c5-46d1-83dc-c2ef7c814da2" xsi:nil="true"/>
    <DocumentTitle xmlns="288ef829-98c5-46d1-83dc-c2ef7c814da2">What's New In Spectrum 2026</DocumentTitle>
    <ReviewFrequency xmlns="288ef829-98c5-46d1-83dc-c2ef7c814da2">12 months</ReviewFrequency>
    <PrimeClassificationStatus xmlns="2ddeef39-65d3-4660-94f2-f063f949c57e" xsi:nil="true"/>
    <DownloadCategory xmlns="288ef829-98c5-46d1-83dc-c2ef7c814da2">Tool</DownloadCategory>
    <ContentOwner xmlns="288ef829-98c5-46d1-83dc-c2ef7c814da2">Eline Louise Korenromp</ContentOwner>
    <Region xmlns="288ef829-98c5-46d1-83dc-c2ef7c814da2">Global</Region>
    <ThematicArea xmlns="288ef829-98c5-46d1-83dc-c2ef7c814da2" xsi:nil="true"/>
    <DocumentName xmlns="288ef829-98c5-46d1-83dc-c2ef7c814da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893E641F549574BB805BD9C73365D4F" ma:contentTypeVersion="38" ma:contentTypeDescription="Create a new document." ma:contentTypeScope="" ma:versionID="bb15a01b0da24ce4c869cf734143bf99">
  <xsd:schema xmlns:xsd="http://www.w3.org/2001/XMLSchema" xmlns:xs="http://www.w3.org/2001/XMLSchema" xmlns:p="http://schemas.microsoft.com/office/2006/metadata/properties" xmlns:ns1="http://schemas.microsoft.com/sharepoint/v3" xmlns:ns2="288ef829-98c5-46d1-83dc-c2ef7c814da2" xmlns:ns3="2ddeef39-65d3-4660-94f2-f063f949c57e" targetNamespace="http://schemas.microsoft.com/office/2006/metadata/properties" ma:root="true" ma:fieldsID="38ffe83adcfdef0d88af7c4db34b3f6a" ns1:_="" ns2:_="" ns3:_="">
    <xsd:import namespace="http://schemas.microsoft.com/sharepoint/v3"/>
    <xsd:import namespace="288ef829-98c5-46d1-83dc-c2ef7c814da2"/>
    <xsd:import namespace="2ddeef39-65d3-4660-94f2-f063f949c5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element ref="ns2:DocumentTitle" minOccurs="0"/>
                <xsd:element ref="ns3:PrimeClassificationStatus" minOccurs="0"/>
                <xsd:element ref="ns3:PrimeClassificationStatusDetails" minOccurs="0"/>
                <xsd:element ref="ns3:PrimeLastClassified" minOccurs="0"/>
                <xsd:element ref="ns3:PrimeCorrectedByUser" minOccurs="0"/>
                <xsd:element ref="ns2:Summary_x002f_Abstract" minOccurs="0"/>
                <xsd:element ref="ns2:ContentOwner" minOccurs="0"/>
                <xsd:element ref="ns2:DownloadCategory" minOccurs="0"/>
                <xsd:element ref="ns2:LastReviewDate" minOccurs="0"/>
                <xsd:element ref="ns2:ReviewFrequency" minOccurs="0"/>
                <xsd:element ref="ns2:PrimaryTopic_x002f_ThematicArea" minOccurs="0"/>
                <xsd:element ref="ns2:Language" minOccurs="0"/>
                <xsd:element ref="ns2:Region" minOccurs="0"/>
                <xsd:element ref="ns2:EnterpriseKeyword" minOccurs="0"/>
                <xsd:element ref="ns2:ThematicArea" minOccurs="0"/>
                <xsd:element ref="ns2:Document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8ef829-98c5-46d1-83dc-c2ef7c814d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008808e-a4ff-498b-8b44-8869f1dca9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DocumentTitle" ma:index="30" nillable="true" ma:displayName="Document Title" ma:format="Dropdown" ma:internalName="DocumentTitle">
      <xsd:simpleType>
        <xsd:restriction base="dms:Text">
          <xsd:maxLength value="255"/>
        </xsd:restriction>
      </xsd:simpleType>
    </xsd:element>
    <xsd:element name="Summary_x002f_Abstract" ma:index="35" nillable="true" ma:displayName="Summary / Abstract" ma:format="Dropdown" ma:internalName="Summary_x002f_Abstract">
      <xsd:simpleType>
        <xsd:restriction base="dms:Note">
          <xsd:maxLength value="255"/>
        </xsd:restriction>
      </xsd:simpleType>
    </xsd:element>
    <xsd:element name="ContentOwner" ma:index="36" nillable="true" ma:displayName="Content Owner" ma:format="Dropdown" ma:internalName="ContentOwner">
      <xsd:simpleType>
        <xsd:restriction base="dms:Text">
          <xsd:maxLength value="255"/>
        </xsd:restriction>
      </xsd:simpleType>
    </xsd:element>
    <xsd:element name="DownloadCategory" ma:index="37" nillable="true" ma:displayName="Download Category" ma:format="Dropdown" ma:internalName="DownloadCategory">
      <xsd:simpleType>
        <xsd:restriction base="dms:Choice">
          <xsd:enumeration value="Tool"/>
          <xsd:enumeration value="Plan"/>
          <xsd:enumeration value="Guide"/>
        </xsd:restriction>
      </xsd:simpleType>
    </xsd:element>
    <xsd:element name="LastReviewDate" ma:index="38" nillable="true" ma:displayName="Last Review Date" ma:format="DateOnly" ma:internalName="LastReviewDate">
      <xsd:simpleType>
        <xsd:restriction base="dms:DateTime"/>
      </xsd:simpleType>
    </xsd:element>
    <xsd:element name="ReviewFrequency" ma:index="39" nillable="true" ma:displayName="Review Frequency" ma:description="Go through the document and try to determine how frequently the document needs to be reviewed for content freshness, accuracy and relevance. &#10;&#10;Here are some basic rules.&#10;If the download category is a “Tool”, then it needs to be reviewed every 12 months.&#10;If the download category is a “Guide”, it needs to be reviewed every 12 months.&#10;If the download category is a “Plan”, it needs to be reviewed every 6 months.&#10;&#10;All review frequencies have been defined as options/ choices for this column.&#10;Choose an option only from the list of review frequencies provided as options/ choices. &#10;&#10;If you are unable to assign a category from the defined list, return ‘To be determined’&#10;&#10;Options that have been defined for this field are:&#10;3 months&#10;6 months&#10;12 months&#10;24 months&#10;36 months&#10;" ma:format="Dropdown" ma:internalName="ReviewFrequency">
      <xsd:simpleType>
        <xsd:restriction base="dms:Choice">
          <xsd:enumeration value="3 months"/>
          <xsd:enumeration value="6 months"/>
          <xsd:enumeration value="12 months"/>
          <xsd:enumeration value="24 months"/>
          <xsd:enumeration value="36 months"/>
        </xsd:restriction>
      </xsd:simpleType>
    </xsd:element>
    <xsd:element name="PrimaryTopic_x002f_ThematicArea" ma:index="40" nillable="true" ma:displayName="Primary Topic / Thematic Area" ma:format="Dropdown" ma:internalName="PrimaryTopic_x002f_ThematicArea">
      <xsd:simpleType>
        <xsd:restriction base="dms:Choice">
          <xsd:enumeration value="Global Fund and Grant Implementation"/>
          <xsd:enumeration value="NSP Strategic Planning and Reviews"/>
          <xsd:enumeration value="Community and Service Delivery"/>
          <xsd:enumeration value="Prevention"/>
          <xsd:enumeration value="HIV and Economics"/>
          <xsd:enumeration value="Human Rights and Gender"/>
          <xsd:enumeration value="Epi Strategic Information"/>
          <xsd:enumeration value="Treatment and Testing"/>
          <xsd:enumeration value="Health System Strengthening"/>
          <xsd:enumeration value="Drawdown"/>
          <xsd:enumeration value="GF Condom SI"/>
          <xsd:enumeration value="DFAT"/>
          <xsd:enumeration value="HIV Sustainability Roadmaps"/>
          <xsd:enumeration value="Other"/>
        </xsd:restriction>
      </xsd:simpleType>
    </xsd:element>
    <xsd:element name="Language" ma:index="41" nillable="true" ma:displayName="Language" ma:format="Dropdown" ma:internalName="Language">
      <xsd:simpleType>
        <xsd:restriction base="dms:Text">
          <xsd:maxLength value="255"/>
        </xsd:restriction>
      </xsd:simpleType>
    </xsd:element>
    <xsd:element name="Region" ma:index="42" nillable="true" ma:displayName="Region" ma:format="Dropdown" ma:internalName="Region">
      <xsd:simpleType>
        <xsd:restriction base="dms:Choice">
          <xsd:enumeration value="Eastern and southern Africa"/>
          <xsd:enumeration value="Western and central Africa"/>
          <xsd:enumeration value="Asia and the Pacific"/>
          <xsd:enumeration value="Eastern Europe and central Asia"/>
          <xsd:enumeration value="Latin America and the Caribbean"/>
          <xsd:enumeration value="Middle East and North Africa"/>
          <xsd:enumeration value="Western and central Europe and North America"/>
          <xsd:enumeration value="Global"/>
          <xsd:enumeration value="Other"/>
        </xsd:restriction>
      </xsd:simpleType>
    </xsd:element>
    <xsd:element name="EnterpriseKeyword" ma:index="43" nillable="true" ma:displayName="Enterprise Keyword" ma:format="Dropdown" ma:internalName="EnterpriseKeyword">
      <xsd:simpleType>
        <xsd:restriction base="dms:Text">
          <xsd:maxLength value="255"/>
        </xsd:restriction>
      </xsd:simpleType>
    </xsd:element>
    <xsd:element name="ThematicArea" ma:index="44" nillable="true" ma:displayName="Thematic Area" ma:format="Dropdown" ma:internalName="ThematicArea">
      <xsd:simpleType>
        <xsd:restriction base="dms:Text">
          <xsd:maxLength value="255"/>
        </xsd:restriction>
      </xsd:simpleType>
    </xsd:element>
    <xsd:element name="DocumentName" ma:index="45" nillable="true" ma:displayName="Document Name" ma:format="Dropdown" ma:internalName="DocumentNa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deef39-65d3-4660-94f2-f063f949c57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f1142ec6-8224-48c2-babf-013e8b339833}" ma:internalName="TaxCatchAll" ma:showField="CatchAllData" ma:web="2ddeef39-65d3-4660-94f2-f063f949c57e">
      <xsd:complexType>
        <xsd:complexContent>
          <xsd:extension base="dms:MultiChoiceLookup">
            <xsd:sequence>
              <xsd:element name="Value" type="dms:Lookup" maxOccurs="unbounded" minOccurs="0" nillable="true"/>
            </xsd:sequence>
          </xsd:extension>
        </xsd:complexContent>
      </xsd:complexType>
    </xsd:element>
    <xsd:element name="PrimeClassificationStatus" ma:index="31" nillable="true" ma:displayName="Processing status" ma:internalName="PrimeClassificationStatus">
      <xsd:simpleType>
        <xsd:restriction base="dms:Text"/>
      </xsd:simpleType>
    </xsd:element>
    <xsd:element name="PrimeClassificationStatusDetails" ma:index="32" nillable="true" ma:displayName="Processing details" ma:internalName="PrimeClassificationStatusDetails">
      <xsd:simpleType>
        <xsd:restriction base="dms:Note">
          <xsd:maxLength value="255"/>
        </xsd:restriction>
      </xsd:simpleType>
    </xsd:element>
    <xsd:element name="PrimeLastClassified" ma:index="33" nillable="true" ma:displayName="Processed" ma:internalName="PrimeLastClassified">
      <xsd:simpleType>
        <xsd:restriction base="dms:DateTime"/>
      </xsd:simpleType>
    </xsd:element>
    <xsd:element name="PrimeCorrectedByUser" ma:index="34" nillable="true" ma:displayName="Corrected" ma:internalName="PrimeCorrectedByUser">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6B5292-0DF0-4C4C-8E96-979733DE71DB}">
  <ds:schemaRefs>
    <ds:schemaRef ds:uri="http://schemas.microsoft.com/sharepoint/v3/contenttype/forms"/>
  </ds:schemaRefs>
</ds:datastoreItem>
</file>

<file path=customXml/itemProps2.xml><?xml version="1.0" encoding="utf-8"?>
<ds:datastoreItem xmlns:ds="http://schemas.openxmlformats.org/officeDocument/2006/customXml" ds:itemID="{55C999D4-8473-49BC-A179-226AD8830FED}">
  <ds:schemaRefs>
    <ds:schemaRef ds:uri="http://schemas.microsoft.com/office/2006/metadata/properties"/>
    <ds:schemaRef ds:uri="http://schemas.microsoft.com/office/infopath/2007/PartnerControls"/>
    <ds:schemaRef ds:uri="http://schemas.microsoft.com/sharepoint/v3"/>
    <ds:schemaRef ds:uri="288ef829-98c5-46d1-83dc-c2ef7c814da2"/>
    <ds:schemaRef ds:uri="2ddeef39-65d3-4660-94f2-f063f949c57e"/>
  </ds:schemaRefs>
</ds:datastoreItem>
</file>

<file path=customXml/itemProps3.xml><?xml version="1.0" encoding="utf-8"?>
<ds:datastoreItem xmlns:ds="http://schemas.openxmlformats.org/officeDocument/2006/customXml" ds:itemID="{21C370DB-9BCE-4A5F-BC5F-417B06CC53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88ef829-98c5-46d1-83dc-c2ef7c814da2"/>
    <ds:schemaRef ds:uri="2ddeef39-65d3-4660-94f2-f063f949c5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2e1cf9b-e1b6-44eb-8021-428c292d3eb5}" enabled="0" method="" siteId="{c2e1cf9b-e1b6-44eb-8021-428c292d3eb5}"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3</Pages>
  <Words>887</Words>
  <Characters>4740</Characters>
  <Application>Microsoft Office Word</Application>
  <DocSecurity>0</DocSecurity>
  <Lines>72</Lines>
  <Paragraphs>23</Paragraphs>
  <ScaleCrop>false</ScaleCrop>
  <Company/>
  <LinksUpToDate>false</LinksUpToDate>
  <CharactersWithSpaces>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Stover</dc:creator>
  <cp:keywords/>
  <dc:description/>
  <cp:lastModifiedBy>KORENROMP, Eline Louise</cp:lastModifiedBy>
  <cp:revision>4</cp:revision>
  <dcterms:created xsi:type="dcterms:W3CDTF">2026-01-27T10:39:00Z</dcterms:created>
  <dcterms:modified xsi:type="dcterms:W3CDTF">2026-01-27T10:42:00Z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0x0101006893E641F549574BB805BD9C73365D4F</vt:lpwstr>
  </property>
  <property fmtid="{D5CDD505-2E9C-101B-9397-08002B2CF9AE}" pid="3" name="MediaServiceImageTags">
    <vt:lpwstr/>
  </property>
  <property fmtid="{D5CDD505-2E9C-101B-9397-08002B2CF9AE}" pid="4" name="docLang">
    <vt:lpwstr>en</vt:lpwstr>
  </property>
</Properties>
</file>